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2AF7" w14:textId="5EF37A7E" w:rsidR="00197833" w:rsidRPr="00724582" w:rsidRDefault="00E64783">
      <w:pPr>
        <w:rPr>
          <w:rFonts w:asciiTheme="majorHAnsi" w:hAnsiTheme="majorHAnsi" w:cstheme="majorHAnsi"/>
        </w:rPr>
      </w:pPr>
      <w:r w:rsidRPr="00724582">
        <w:rPr>
          <w:rFonts w:asciiTheme="majorHAnsi" w:hAnsiTheme="majorHAnsi" w:cstheme="majorHAnsi"/>
          <w:b/>
        </w:rPr>
        <w:t xml:space="preserve">NERC Discipline Hopping for </w:t>
      </w:r>
      <w:r w:rsidR="004778BD" w:rsidRPr="004778BD">
        <w:rPr>
          <w:rFonts w:asciiTheme="majorHAnsi" w:hAnsiTheme="majorHAnsi" w:cstheme="majorHAnsi"/>
          <w:b/>
          <w:lang w:val="en-GB"/>
        </w:rPr>
        <w:t>for Discovery Science</w:t>
      </w:r>
      <w:r w:rsidR="004778BD">
        <w:rPr>
          <w:rFonts w:asciiTheme="majorHAnsi" w:hAnsiTheme="majorHAnsi" w:cstheme="majorHAnsi"/>
          <w:b/>
          <w:lang w:val="en-GB"/>
        </w:rPr>
        <w:t xml:space="preserve"> Call</w:t>
      </w:r>
    </w:p>
    <w:p w14:paraId="0814CB88" w14:textId="77777777" w:rsidR="00197833" w:rsidRPr="00724582" w:rsidRDefault="00197833">
      <w:pPr>
        <w:rPr>
          <w:rFonts w:asciiTheme="majorHAnsi" w:hAnsiTheme="majorHAnsi" w:cstheme="majorHAnsi"/>
        </w:rPr>
      </w:pPr>
    </w:p>
    <w:p w14:paraId="3F0B3E93" w14:textId="77777777" w:rsidR="001E2632" w:rsidRPr="00724582" w:rsidRDefault="001E2632">
      <w:pPr>
        <w:keepNext/>
        <w:rPr>
          <w:rFonts w:asciiTheme="majorHAnsi" w:hAnsiTheme="majorHAnsi" w:cstheme="majorHAnsi"/>
        </w:rPr>
      </w:pPr>
    </w:p>
    <w:p w14:paraId="1AD2F9D3" w14:textId="58EF850F" w:rsidR="00762C04" w:rsidRDefault="00762C04" w:rsidP="00762C04">
      <w:pPr>
        <w:rPr>
          <w:rStyle w:val="normaltextrun"/>
        </w:rPr>
      </w:pPr>
      <w:r>
        <w:t xml:space="preserve">This opportunity is open to any Schools to support academics and researchers to build expertise and agility to work across disciplinary boundaries within </w:t>
      </w:r>
      <w:hyperlink r:id="rId8" w:history="1">
        <w:r>
          <w:rPr>
            <w:rStyle w:val="Hyperlink"/>
          </w:rPr>
          <w:t>Discovery Science</w:t>
        </w:r>
      </w:hyperlink>
      <w:r>
        <w:t>.</w:t>
      </w:r>
      <w:r>
        <w:br/>
      </w:r>
      <w:r>
        <w:br/>
        <w:t>Through this initiative, NERC seeks to facilitate exciting new collaborations for our community that will build momentum towards true discipline integration and enable adventurous and ambitious curiosity-driven, high-risk and high-reward projects that push the boundaries of Discovery Science. The initiative will support activities to help academics develop an understanding of different cross-disciplinary research perspectives and methodologies that could be used to enable discoveries that unlock new knowledge within the environmental sciences.</w:t>
      </w:r>
      <w:r>
        <w:rPr>
          <w:rStyle w:val="normaltextrun"/>
        </w:rPr>
        <w:t> </w:t>
      </w:r>
    </w:p>
    <w:p w14:paraId="03A42EF1" w14:textId="64763549" w:rsidR="00086EC3" w:rsidRDefault="00086EC3" w:rsidP="00086EC3">
      <w:pPr>
        <w:keepNext/>
        <w:rPr>
          <w:rFonts w:asciiTheme="majorHAnsi" w:eastAsia="Arial" w:hAnsiTheme="majorHAnsi" w:cstheme="majorHAnsi"/>
          <w:color w:val="000000"/>
          <w:spacing w:val="-1"/>
        </w:rPr>
      </w:pPr>
    </w:p>
    <w:p w14:paraId="7391EECE" w14:textId="208D27CA" w:rsidR="00086EC3" w:rsidRPr="00086EC3" w:rsidRDefault="00086EC3" w:rsidP="00086EC3">
      <w:pPr>
        <w:ind w:right="124"/>
        <w:rPr>
          <w:rFonts w:asciiTheme="majorHAnsi" w:hAnsiTheme="majorHAnsi" w:cstheme="majorHAnsi"/>
        </w:rPr>
      </w:pPr>
      <w:r w:rsidRPr="00086EC3">
        <w:rPr>
          <w:rFonts w:asciiTheme="majorHAnsi" w:hAnsiTheme="majorHAnsi" w:cstheme="majorHAnsi"/>
        </w:rPr>
        <w:t xml:space="preserve">The grant can be used to support academics and researchers employed </w:t>
      </w:r>
      <w:r w:rsidR="002263FE">
        <w:rPr>
          <w:rFonts w:asciiTheme="majorHAnsi" w:hAnsiTheme="majorHAnsi" w:cstheme="majorHAnsi"/>
        </w:rPr>
        <w:t xml:space="preserve">by St Andrews </w:t>
      </w:r>
      <w:r w:rsidRPr="00086EC3">
        <w:rPr>
          <w:rFonts w:asciiTheme="majorHAnsi" w:hAnsiTheme="majorHAnsi" w:cstheme="majorHAnsi"/>
        </w:rPr>
        <w:t>at lecturer (or equivalent) level or above and Post-Doctoral Research Assistants. PhD students are not eligible.</w:t>
      </w:r>
    </w:p>
    <w:p w14:paraId="408339EA" w14:textId="77777777" w:rsidR="00086EC3" w:rsidRPr="00086EC3" w:rsidRDefault="00086EC3" w:rsidP="00086EC3">
      <w:pPr>
        <w:ind w:right="124"/>
        <w:rPr>
          <w:rFonts w:asciiTheme="majorHAnsi" w:hAnsiTheme="majorHAnsi" w:cstheme="majorHAnsi"/>
        </w:rPr>
      </w:pPr>
    </w:p>
    <w:p w14:paraId="0551A133" w14:textId="0F238AF3" w:rsidR="00086EC3" w:rsidRPr="00086EC3" w:rsidRDefault="00086EC3" w:rsidP="00086EC3">
      <w:pPr>
        <w:ind w:right="124"/>
        <w:rPr>
          <w:rFonts w:asciiTheme="majorHAnsi" w:hAnsiTheme="majorHAnsi" w:cstheme="majorHAnsi"/>
        </w:rPr>
      </w:pPr>
      <w:r w:rsidRPr="00086EC3">
        <w:rPr>
          <w:rFonts w:asciiTheme="majorHAnsi" w:hAnsiTheme="majorHAnsi" w:cstheme="majorHAnsi"/>
        </w:rPr>
        <w:t>The funding can be used to support activities within</w:t>
      </w:r>
      <w:r w:rsidR="002263FE">
        <w:rPr>
          <w:rFonts w:asciiTheme="majorHAnsi" w:hAnsiTheme="majorHAnsi" w:cstheme="majorHAnsi"/>
        </w:rPr>
        <w:t xml:space="preserve"> St Andrews</w:t>
      </w:r>
      <w:r w:rsidRPr="00086EC3">
        <w:rPr>
          <w:rFonts w:asciiTheme="majorHAnsi" w:hAnsiTheme="majorHAnsi" w:cstheme="majorHAnsi"/>
        </w:rPr>
        <w:t>, or in partnership with other</w:t>
      </w:r>
    </w:p>
    <w:p w14:paraId="27A1D72E" w14:textId="5BE4E31D" w:rsidR="00086EC3" w:rsidRPr="00086EC3" w:rsidRDefault="00086EC3" w:rsidP="00086EC3">
      <w:pPr>
        <w:ind w:right="124"/>
        <w:rPr>
          <w:rFonts w:asciiTheme="majorHAnsi" w:hAnsiTheme="majorHAnsi" w:cstheme="majorHAnsi"/>
        </w:rPr>
      </w:pPr>
      <w:r w:rsidRPr="00086EC3">
        <w:rPr>
          <w:rFonts w:asciiTheme="majorHAnsi" w:hAnsiTheme="majorHAnsi" w:cstheme="majorHAnsi"/>
        </w:rPr>
        <w:t>UK research organisations (and/ or end users)</w:t>
      </w:r>
      <w:r w:rsidR="002263FE">
        <w:rPr>
          <w:rStyle w:val="FootnoteReference"/>
          <w:rFonts w:asciiTheme="majorHAnsi" w:hAnsiTheme="majorHAnsi" w:cstheme="majorHAnsi"/>
        </w:rPr>
        <w:footnoteReference w:id="1"/>
      </w:r>
      <w:r w:rsidRPr="00086EC3">
        <w:rPr>
          <w:rFonts w:asciiTheme="majorHAnsi" w:hAnsiTheme="majorHAnsi" w:cstheme="majorHAnsi"/>
        </w:rPr>
        <w:t>.</w:t>
      </w:r>
    </w:p>
    <w:p w14:paraId="06C8B54A" w14:textId="77777777" w:rsidR="00086EC3" w:rsidRPr="00086EC3" w:rsidRDefault="00086EC3" w:rsidP="00086EC3">
      <w:pPr>
        <w:ind w:right="124"/>
        <w:rPr>
          <w:rFonts w:asciiTheme="majorHAnsi" w:hAnsiTheme="majorHAnsi" w:cstheme="majorHAnsi"/>
        </w:rPr>
      </w:pPr>
    </w:p>
    <w:p w14:paraId="4129FA97" w14:textId="32DE0973" w:rsidR="00086EC3" w:rsidRDefault="0094624C" w:rsidP="00086EC3">
      <w:pPr>
        <w:ind w:right="124"/>
        <w:rPr>
          <w:rFonts w:asciiTheme="majorHAnsi" w:hAnsiTheme="majorHAnsi" w:cstheme="majorHAnsi"/>
        </w:rPr>
      </w:pPr>
      <w:r w:rsidRPr="00724582">
        <w:rPr>
          <w:rFonts w:asciiTheme="majorHAnsi" w:hAnsiTheme="majorHAnsi" w:cstheme="majorHAnsi"/>
        </w:rPr>
        <w:t>As the call is for highly interdisciplinary projects, for collaborative applications (all except where researchers are embedded or shadowing in other discipline areas</w:t>
      </w:r>
      <w:r w:rsidR="00DC35B5">
        <w:rPr>
          <w:rFonts w:asciiTheme="majorHAnsi" w:hAnsiTheme="majorHAnsi" w:cstheme="majorHAnsi"/>
        </w:rPr>
        <w:t>)</w:t>
      </w:r>
      <w:r w:rsidRPr="00724582">
        <w:rPr>
          <w:rFonts w:asciiTheme="majorHAnsi" w:hAnsiTheme="majorHAnsi" w:cstheme="majorHAnsi"/>
        </w:rPr>
        <w:t xml:space="preserve">, we expect collaboration </w:t>
      </w:r>
      <w:r w:rsidR="00DC35B5">
        <w:rPr>
          <w:rFonts w:asciiTheme="majorHAnsi" w:hAnsiTheme="majorHAnsi" w:cstheme="majorHAnsi"/>
        </w:rPr>
        <w:t xml:space="preserve">to be </w:t>
      </w:r>
      <w:r w:rsidRPr="00724582">
        <w:rPr>
          <w:rFonts w:asciiTheme="majorHAnsi" w:hAnsiTheme="majorHAnsi" w:cstheme="majorHAnsi"/>
        </w:rPr>
        <w:t xml:space="preserve">between </w:t>
      </w:r>
      <w:r w:rsidR="00762C04" w:rsidRPr="00724582">
        <w:rPr>
          <w:rFonts w:asciiTheme="majorHAnsi" w:hAnsiTheme="majorHAnsi" w:cstheme="majorHAnsi"/>
        </w:rPr>
        <w:t>independent academic research staff from a minimum of two Schools</w:t>
      </w:r>
      <w:r w:rsidR="00762C04">
        <w:rPr>
          <w:rFonts w:asciiTheme="majorHAnsi" w:hAnsiTheme="majorHAnsi" w:cstheme="majorHAnsi"/>
        </w:rPr>
        <w:t xml:space="preserve"> with traditionally less obvious links</w:t>
      </w:r>
      <w:r w:rsidR="00762C04" w:rsidRPr="00724582">
        <w:rPr>
          <w:rFonts w:asciiTheme="majorHAnsi" w:hAnsiTheme="majorHAnsi" w:cstheme="majorHAnsi"/>
        </w:rPr>
        <w:t>.   </w:t>
      </w:r>
    </w:p>
    <w:p w14:paraId="68B999D1" w14:textId="77777777" w:rsidR="00086EC3" w:rsidRDefault="00086EC3" w:rsidP="00086EC3">
      <w:pPr>
        <w:ind w:right="124"/>
        <w:rPr>
          <w:rFonts w:asciiTheme="majorHAnsi" w:hAnsiTheme="majorHAnsi" w:cstheme="majorHAnsi"/>
        </w:rPr>
      </w:pPr>
    </w:p>
    <w:p w14:paraId="69E9143C" w14:textId="16400C66" w:rsidR="00086EC3" w:rsidRDefault="00086EC3" w:rsidP="00086EC3">
      <w:pPr>
        <w:ind w:right="12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</w:t>
      </w:r>
      <w:r w:rsidRPr="00086EC3">
        <w:rPr>
          <w:rFonts w:asciiTheme="majorHAnsi" w:hAnsiTheme="majorHAnsi" w:cstheme="majorHAnsi"/>
        </w:rPr>
        <w:t>xamples of the types of ‘discipline-hopping’ activities that could be undertaken include (but are not limited to):</w:t>
      </w:r>
      <w:r w:rsidR="0094624C" w:rsidRPr="00724582">
        <w:rPr>
          <w:rFonts w:asciiTheme="majorHAnsi" w:hAnsiTheme="majorHAnsi" w:cstheme="majorHAnsi"/>
        </w:rPr>
        <w:t xml:space="preserve"> </w:t>
      </w:r>
    </w:p>
    <w:p w14:paraId="6E22ADC6" w14:textId="5EF34004" w:rsidR="0094624C" w:rsidRPr="00724582" w:rsidRDefault="0094624C" w:rsidP="00086EC3">
      <w:pPr>
        <w:ind w:left="720" w:right="124"/>
        <w:rPr>
          <w:rFonts w:asciiTheme="majorHAnsi" w:hAnsiTheme="majorHAnsi" w:cstheme="majorHAnsi"/>
        </w:rPr>
      </w:pPr>
      <w:r w:rsidRPr="00724582">
        <w:rPr>
          <w:rFonts w:asciiTheme="majorHAnsi" w:hAnsiTheme="majorHAnsi" w:cstheme="majorHAnsi"/>
        </w:rPr>
        <w:t>• Embedding researchers, for a period of time, in departments outside of their own discipline area (within the same organisation, or in other eligible UK research organisations).</w:t>
      </w:r>
      <w:r w:rsidR="00086EC3">
        <w:rPr>
          <w:rFonts w:asciiTheme="majorHAnsi" w:hAnsiTheme="majorHAnsi" w:cstheme="majorHAnsi"/>
        </w:rPr>
        <w:br/>
      </w:r>
      <w:r w:rsidRPr="00724582">
        <w:rPr>
          <w:rFonts w:asciiTheme="majorHAnsi" w:hAnsiTheme="majorHAnsi" w:cstheme="majorHAnsi"/>
        </w:rPr>
        <w:t>• Sharing insights on priorities and looking for synergies/ new ideas that cut across departmental boundaries.</w:t>
      </w:r>
      <w:r w:rsidR="00086EC3">
        <w:rPr>
          <w:rFonts w:asciiTheme="majorHAnsi" w:hAnsiTheme="majorHAnsi" w:cstheme="majorHAnsi"/>
        </w:rPr>
        <w:br/>
      </w:r>
      <w:r w:rsidRPr="00724582">
        <w:rPr>
          <w:rFonts w:asciiTheme="majorHAnsi" w:hAnsiTheme="majorHAnsi" w:cstheme="majorHAnsi"/>
        </w:rPr>
        <w:t>• Work shadowing in other departments, for example to learn new skills and techniques</w:t>
      </w:r>
      <w:r w:rsidR="00086EC3">
        <w:rPr>
          <w:rFonts w:asciiTheme="majorHAnsi" w:hAnsiTheme="majorHAnsi" w:cstheme="majorHAnsi"/>
        </w:rPr>
        <w:br/>
      </w:r>
      <w:r w:rsidRPr="00724582">
        <w:rPr>
          <w:rFonts w:asciiTheme="majorHAnsi" w:hAnsiTheme="majorHAnsi" w:cstheme="majorHAnsi"/>
        </w:rPr>
        <w:t>• Organising meetings/ seminars/ workshops between departments and disciplines to share learning, understanding of key terms, concepts, language and tools to tackle problems.</w:t>
      </w:r>
      <w:r w:rsidR="00086EC3">
        <w:rPr>
          <w:rFonts w:asciiTheme="majorHAnsi" w:hAnsiTheme="majorHAnsi" w:cstheme="majorHAnsi"/>
        </w:rPr>
        <w:br/>
      </w:r>
      <w:r w:rsidRPr="00724582">
        <w:rPr>
          <w:rFonts w:asciiTheme="majorHAnsi" w:hAnsiTheme="majorHAnsi" w:cstheme="majorHAnsi"/>
        </w:rPr>
        <w:t>• Working with end users (e.g. businesses, policymakers, non-governmental organisations) to understand how their needs could be addressed through interdisciplinary approaches.</w:t>
      </w:r>
    </w:p>
    <w:p w14:paraId="70FCA9E9" w14:textId="77777777" w:rsidR="0094624C" w:rsidRPr="00724582" w:rsidRDefault="0094624C" w:rsidP="0094624C">
      <w:pPr>
        <w:keepNext/>
        <w:rPr>
          <w:rFonts w:asciiTheme="majorHAnsi" w:hAnsiTheme="majorHAnsi" w:cstheme="majorHAnsi"/>
        </w:rPr>
      </w:pPr>
    </w:p>
    <w:p w14:paraId="0774FE01" w14:textId="0B1D5D3E" w:rsidR="002263FE" w:rsidRDefault="00974C3C" w:rsidP="002263FE">
      <w:pPr>
        <w:spacing w:before="9" w:line="180" w:lineRule="exact"/>
        <w:rPr>
          <w:sz w:val="19"/>
          <w:szCs w:val="19"/>
        </w:rPr>
      </w:pPr>
      <w:r w:rsidRPr="00724582">
        <w:rPr>
          <w:rFonts w:asciiTheme="majorHAnsi" w:hAnsiTheme="majorHAnsi" w:cstheme="majorHAnsi"/>
        </w:rPr>
        <w:br/>
      </w:r>
    </w:p>
    <w:p w14:paraId="2E412755" w14:textId="77777777" w:rsidR="002263FE" w:rsidRDefault="002263FE" w:rsidP="002263F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lastRenderedPageBreak/>
        <w:t>C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s</w:t>
      </w:r>
    </w:p>
    <w:p w14:paraId="148EBFD9" w14:textId="77777777" w:rsidR="002263FE" w:rsidRDefault="002263FE" w:rsidP="002263FE">
      <w:pPr>
        <w:spacing w:before="1" w:line="200" w:lineRule="exact"/>
      </w:pPr>
    </w:p>
    <w:p w14:paraId="4362A4C0" w14:textId="5C979176" w:rsidR="002263FE" w:rsidRDefault="002263FE" w:rsidP="002263F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100% F</w:t>
      </w:r>
      <w:r>
        <w:rPr>
          <w:rFonts w:ascii="Arial" w:eastAsia="Arial" w:hAnsi="Arial" w:cs="Arial"/>
          <w:spacing w:val="-1"/>
        </w:rPr>
        <w:t>EC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ude:</w:t>
      </w:r>
    </w:p>
    <w:p w14:paraId="3C82EF20" w14:textId="009BE483" w:rsidR="002263FE" w:rsidRDefault="002263FE" w:rsidP="00EA06D1">
      <w:pPr>
        <w:rPr>
          <w:rFonts w:ascii="Arial" w:eastAsia="Arial" w:hAnsi="Arial" w:cs="Arial"/>
        </w:rPr>
      </w:pPr>
    </w:p>
    <w:p w14:paraId="061C75B2" w14:textId="77777777" w:rsidR="002263FE" w:rsidRDefault="002263FE" w:rsidP="002263FE">
      <w:pPr>
        <w:spacing w:line="260" w:lineRule="exact"/>
        <w:ind w:left="358"/>
        <w:rPr>
          <w:rFonts w:ascii="Arial" w:eastAsia="Arial" w:hAnsi="Arial" w:cs="Arial"/>
        </w:rPr>
      </w:pPr>
      <w:r>
        <w:rPr>
          <w:rFonts w:ascii="Verdana" w:eastAsia="Verdana" w:hAnsi="Verdana" w:cs="Verdana"/>
          <w:position w:val="-1"/>
        </w:rPr>
        <w:t xml:space="preserve">•  </w:t>
      </w:r>
      <w:r>
        <w:rPr>
          <w:rFonts w:ascii="Verdana" w:eastAsia="Verdana" w:hAnsi="Verdana" w:cs="Verdana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Di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cu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f</w:t>
      </w:r>
      <w:r>
        <w:rPr>
          <w:rFonts w:ascii="Arial" w:eastAsia="Arial" w:hAnsi="Arial" w:cs="Arial"/>
          <w:position w:val="-1"/>
        </w:rPr>
        <w:t>f c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s, 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us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soc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-1"/>
          <w:position w:val="-1"/>
        </w:rPr>
        <w:t xml:space="preserve"> i</w:t>
      </w:r>
      <w:r>
        <w:rPr>
          <w:rFonts w:ascii="Arial" w:eastAsia="Arial" w:hAnsi="Arial" w:cs="Arial"/>
          <w:position w:val="-1"/>
        </w:rPr>
        <w:t>nd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and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s</w:t>
      </w:r>
    </w:p>
    <w:p w14:paraId="0CDBE3B1" w14:textId="77777777" w:rsidR="002263FE" w:rsidRDefault="002263FE" w:rsidP="002263FE">
      <w:pPr>
        <w:spacing w:before="1"/>
        <w:ind w:left="358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&amp;</w:t>
      </w:r>
      <w:r>
        <w:rPr>
          <w:rFonts w:ascii="Arial" w:eastAsia="Arial" w:hAnsi="Arial" w:cs="Arial"/>
        </w:rPr>
        <w:t>S</w:t>
      </w:r>
    </w:p>
    <w:p w14:paraId="6ABAAF5A" w14:textId="644C2450" w:rsidR="002263FE" w:rsidRDefault="002263FE" w:rsidP="002263FE">
      <w:pPr>
        <w:spacing w:before="1"/>
        <w:ind w:left="358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 exp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nses,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kshop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)</w:t>
      </w:r>
    </w:p>
    <w:p w14:paraId="581A0427" w14:textId="24D043D2" w:rsidR="00EA06D1" w:rsidRPr="00054D85" w:rsidRDefault="00EA06D1" w:rsidP="00EA06D1">
      <w:pPr>
        <w:pStyle w:val="ListParagraph"/>
        <w:numPr>
          <w:ilvl w:val="0"/>
          <w:numId w:val="8"/>
        </w:numPr>
        <w:spacing w:before="1"/>
        <w:rPr>
          <w:rFonts w:ascii="Arial" w:eastAsia="Arial" w:hAnsi="Arial" w:cs="Arial"/>
          <w:b/>
          <w:bCs/>
        </w:rPr>
      </w:pPr>
      <w:r w:rsidRPr="00EA06D1">
        <w:rPr>
          <w:rFonts w:ascii="Arial" w:eastAsia="Arial" w:hAnsi="Arial" w:cs="Arial"/>
          <w:spacing w:val="-1"/>
        </w:rPr>
        <w:t>Di</w:t>
      </w:r>
      <w:r w:rsidRPr="00EA06D1">
        <w:rPr>
          <w:rFonts w:ascii="Arial" w:eastAsia="Arial" w:hAnsi="Arial" w:cs="Arial"/>
          <w:spacing w:val="1"/>
        </w:rPr>
        <w:t>r</w:t>
      </w:r>
      <w:r w:rsidRPr="00EA06D1">
        <w:rPr>
          <w:rFonts w:ascii="Arial" w:eastAsia="Arial" w:hAnsi="Arial" w:cs="Arial"/>
        </w:rPr>
        <w:t>ec</w:t>
      </w:r>
      <w:r w:rsidRPr="00EA06D1">
        <w:rPr>
          <w:rFonts w:ascii="Arial" w:eastAsia="Arial" w:hAnsi="Arial" w:cs="Arial"/>
          <w:spacing w:val="1"/>
        </w:rPr>
        <w:t>t</w:t>
      </w:r>
      <w:r w:rsidRPr="00EA06D1">
        <w:rPr>
          <w:rFonts w:ascii="Arial" w:eastAsia="Arial" w:hAnsi="Arial" w:cs="Arial"/>
          <w:spacing w:val="-1"/>
        </w:rPr>
        <w:t>l</w:t>
      </w:r>
      <w:r w:rsidRPr="00EA06D1">
        <w:rPr>
          <w:rFonts w:ascii="Arial" w:eastAsia="Arial" w:hAnsi="Arial" w:cs="Arial"/>
        </w:rPr>
        <w:t>y</w:t>
      </w:r>
      <w:r w:rsidRPr="00EA06D1">
        <w:rPr>
          <w:rFonts w:ascii="Arial" w:eastAsia="Arial" w:hAnsi="Arial" w:cs="Arial"/>
          <w:spacing w:val="2"/>
        </w:rPr>
        <w:t xml:space="preserve"> </w:t>
      </w:r>
      <w:r w:rsidRPr="00EA06D1">
        <w:rPr>
          <w:rFonts w:ascii="Arial" w:eastAsia="Arial" w:hAnsi="Arial" w:cs="Arial"/>
          <w:spacing w:val="-1"/>
        </w:rPr>
        <w:t>All</w:t>
      </w:r>
      <w:r w:rsidRPr="00EA06D1">
        <w:rPr>
          <w:rFonts w:ascii="Arial" w:eastAsia="Arial" w:hAnsi="Arial" w:cs="Arial"/>
        </w:rPr>
        <w:t>oca</w:t>
      </w:r>
      <w:r w:rsidRPr="00EA06D1">
        <w:rPr>
          <w:rFonts w:ascii="Arial" w:eastAsia="Arial" w:hAnsi="Arial" w:cs="Arial"/>
          <w:spacing w:val="1"/>
        </w:rPr>
        <w:t>t</w:t>
      </w:r>
      <w:r w:rsidRPr="00EA06D1">
        <w:rPr>
          <w:rFonts w:ascii="Arial" w:eastAsia="Arial" w:hAnsi="Arial" w:cs="Arial"/>
        </w:rPr>
        <w:t>ed</w:t>
      </w:r>
      <w:r w:rsidRPr="00EA06D1">
        <w:rPr>
          <w:rFonts w:ascii="Arial" w:eastAsia="Arial" w:hAnsi="Arial" w:cs="Arial"/>
          <w:spacing w:val="-1"/>
        </w:rPr>
        <w:t xml:space="preserve"> </w:t>
      </w:r>
      <w:r w:rsidRPr="00EA06D1">
        <w:rPr>
          <w:rFonts w:ascii="Arial" w:eastAsia="Arial" w:hAnsi="Arial" w:cs="Arial"/>
        </w:rPr>
        <w:t>s</w:t>
      </w:r>
      <w:r w:rsidRPr="00EA06D1">
        <w:rPr>
          <w:rFonts w:ascii="Arial" w:eastAsia="Arial" w:hAnsi="Arial" w:cs="Arial"/>
          <w:spacing w:val="1"/>
        </w:rPr>
        <w:t>t</w:t>
      </w:r>
      <w:r w:rsidRPr="00EA06D1">
        <w:rPr>
          <w:rFonts w:ascii="Arial" w:eastAsia="Arial" w:hAnsi="Arial" w:cs="Arial"/>
          <w:spacing w:val="-3"/>
        </w:rPr>
        <w:t>a</w:t>
      </w:r>
      <w:r w:rsidRPr="00EA06D1">
        <w:rPr>
          <w:rFonts w:ascii="Arial" w:eastAsia="Arial" w:hAnsi="Arial" w:cs="Arial"/>
          <w:spacing w:val="1"/>
        </w:rPr>
        <w:t>f</w:t>
      </w:r>
      <w:r w:rsidRPr="00EA06D1">
        <w:rPr>
          <w:rFonts w:ascii="Arial" w:eastAsia="Arial" w:hAnsi="Arial" w:cs="Arial"/>
        </w:rPr>
        <w:t xml:space="preserve">f </w:t>
      </w:r>
      <w:r w:rsidRPr="00EA06D1">
        <w:rPr>
          <w:rFonts w:ascii="Arial" w:eastAsia="Arial" w:hAnsi="Arial" w:cs="Arial"/>
          <w:spacing w:val="-2"/>
        </w:rPr>
        <w:t>c</w:t>
      </w:r>
      <w:r w:rsidRPr="00EA06D1">
        <w:rPr>
          <w:rFonts w:ascii="Arial" w:eastAsia="Arial" w:hAnsi="Arial" w:cs="Arial"/>
        </w:rPr>
        <w:t>os</w:t>
      </w:r>
      <w:r w:rsidRPr="00EA06D1">
        <w:rPr>
          <w:rFonts w:ascii="Arial" w:eastAsia="Arial" w:hAnsi="Arial" w:cs="Arial"/>
          <w:spacing w:val="1"/>
        </w:rPr>
        <w:t>t</w:t>
      </w:r>
      <w:r w:rsidRPr="00EA06D1">
        <w:rPr>
          <w:rFonts w:ascii="Arial" w:eastAsia="Arial" w:hAnsi="Arial" w:cs="Arial"/>
        </w:rPr>
        <w:t>s,</w:t>
      </w:r>
      <w:r w:rsidR="00916AA4">
        <w:rPr>
          <w:rFonts w:ascii="Arial" w:eastAsia="Arial" w:hAnsi="Arial" w:cs="Arial"/>
        </w:rPr>
        <w:t xml:space="preserve"> (</w:t>
      </w:r>
      <w:r w:rsidR="00916AA4" w:rsidRPr="00916AA4">
        <w:rPr>
          <w:rFonts w:ascii="Arial" w:eastAsia="Arial" w:hAnsi="Arial" w:cs="Arial"/>
          <w:b/>
          <w:bCs/>
        </w:rPr>
        <w:t xml:space="preserve">Please </w:t>
      </w:r>
      <w:r w:rsidR="00A95D0A">
        <w:rPr>
          <w:rFonts w:ascii="Arial" w:eastAsia="Arial" w:hAnsi="Arial" w:cs="Arial"/>
          <w:b/>
          <w:bCs/>
        </w:rPr>
        <w:t xml:space="preserve">use the table below and </w:t>
      </w:r>
      <w:r w:rsidR="00916AA4" w:rsidRPr="00916AA4">
        <w:rPr>
          <w:rFonts w:ascii="Arial" w:eastAsia="Arial" w:hAnsi="Arial" w:cs="Arial"/>
          <w:b/>
          <w:bCs/>
        </w:rPr>
        <w:t>indicate % PI Time</w:t>
      </w:r>
      <w:r w:rsidR="00916AA4">
        <w:rPr>
          <w:rFonts w:ascii="Arial" w:eastAsia="Arial" w:hAnsi="Arial" w:cs="Arial"/>
        </w:rPr>
        <w:t xml:space="preserve">), </w:t>
      </w:r>
      <w:r w:rsidRPr="00EA06D1">
        <w:rPr>
          <w:rFonts w:ascii="Arial" w:eastAsia="Arial" w:hAnsi="Arial" w:cs="Arial"/>
        </w:rPr>
        <w:t>p</w:t>
      </w:r>
      <w:r w:rsidRPr="00EA06D1">
        <w:rPr>
          <w:rFonts w:ascii="Arial" w:eastAsia="Arial" w:hAnsi="Arial" w:cs="Arial"/>
          <w:spacing w:val="-1"/>
        </w:rPr>
        <w:t>l</w:t>
      </w:r>
      <w:r w:rsidRPr="00EA06D1">
        <w:rPr>
          <w:rFonts w:ascii="Arial" w:eastAsia="Arial" w:hAnsi="Arial" w:cs="Arial"/>
        </w:rPr>
        <w:t>us</w:t>
      </w:r>
      <w:r w:rsidRPr="00EA06D1">
        <w:rPr>
          <w:rFonts w:ascii="Arial" w:eastAsia="Arial" w:hAnsi="Arial" w:cs="Arial"/>
          <w:spacing w:val="2"/>
        </w:rPr>
        <w:t xml:space="preserve"> </w:t>
      </w:r>
      <w:r w:rsidRPr="00EA06D1">
        <w:rPr>
          <w:rFonts w:ascii="Arial" w:eastAsia="Arial" w:hAnsi="Arial" w:cs="Arial"/>
        </w:rPr>
        <w:t>a</w:t>
      </w:r>
      <w:r w:rsidRPr="00EA06D1">
        <w:rPr>
          <w:rFonts w:ascii="Arial" w:eastAsia="Arial" w:hAnsi="Arial" w:cs="Arial"/>
          <w:spacing w:val="-2"/>
        </w:rPr>
        <w:t>s</w:t>
      </w:r>
      <w:r w:rsidRPr="00EA06D1">
        <w:rPr>
          <w:rFonts w:ascii="Arial" w:eastAsia="Arial" w:hAnsi="Arial" w:cs="Arial"/>
        </w:rPr>
        <w:t>soc</w:t>
      </w:r>
      <w:r w:rsidRPr="00EA06D1">
        <w:rPr>
          <w:rFonts w:ascii="Arial" w:eastAsia="Arial" w:hAnsi="Arial" w:cs="Arial"/>
          <w:spacing w:val="-1"/>
        </w:rPr>
        <w:t>i</w:t>
      </w:r>
      <w:r w:rsidRPr="00EA06D1">
        <w:rPr>
          <w:rFonts w:ascii="Arial" w:eastAsia="Arial" w:hAnsi="Arial" w:cs="Arial"/>
        </w:rPr>
        <w:t>a</w:t>
      </w:r>
      <w:r w:rsidRPr="00EA06D1">
        <w:rPr>
          <w:rFonts w:ascii="Arial" w:eastAsia="Arial" w:hAnsi="Arial" w:cs="Arial"/>
          <w:spacing w:val="1"/>
        </w:rPr>
        <w:t>t</w:t>
      </w:r>
      <w:r w:rsidRPr="00EA06D1">
        <w:rPr>
          <w:rFonts w:ascii="Arial" w:eastAsia="Arial" w:hAnsi="Arial" w:cs="Arial"/>
        </w:rPr>
        <w:t>ed</w:t>
      </w:r>
      <w:r w:rsidRPr="00EA06D1">
        <w:rPr>
          <w:rFonts w:ascii="Arial" w:eastAsia="Arial" w:hAnsi="Arial" w:cs="Arial"/>
          <w:spacing w:val="-1"/>
        </w:rPr>
        <w:t xml:space="preserve"> i</w:t>
      </w:r>
      <w:r w:rsidRPr="00EA06D1">
        <w:rPr>
          <w:rFonts w:ascii="Arial" w:eastAsia="Arial" w:hAnsi="Arial" w:cs="Arial"/>
        </w:rPr>
        <w:t>nd</w:t>
      </w:r>
      <w:r w:rsidRPr="00EA06D1">
        <w:rPr>
          <w:rFonts w:ascii="Arial" w:eastAsia="Arial" w:hAnsi="Arial" w:cs="Arial"/>
          <w:spacing w:val="-1"/>
        </w:rPr>
        <w:t>i</w:t>
      </w:r>
      <w:r w:rsidRPr="00EA06D1">
        <w:rPr>
          <w:rFonts w:ascii="Arial" w:eastAsia="Arial" w:hAnsi="Arial" w:cs="Arial"/>
          <w:spacing w:val="1"/>
        </w:rPr>
        <w:t>r</w:t>
      </w:r>
      <w:r w:rsidRPr="00EA06D1">
        <w:rPr>
          <w:rFonts w:ascii="Arial" w:eastAsia="Arial" w:hAnsi="Arial" w:cs="Arial"/>
        </w:rPr>
        <w:t>ect and</w:t>
      </w:r>
      <w:r w:rsidRPr="00EA06D1">
        <w:rPr>
          <w:rFonts w:ascii="Arial" w:eastAsia="Arial" w:hAnsi="Arial" w:cs="Arial"/>
          <w:spacing w:val="1"/>
        </w:rPr>
        <w:t xml:space="preserve"> </w:t>
      </w:r>
      <w:r w:rsidRPr="00EA06D1">
        <w:rPr>
          <w:rFonts w:ascii="Arial" w:eastAsia="Arial" w:hAnsi="Arial" w:cs="Arial"/>
        </w:rPr>
        <w:t>e</w:t>
      </w:r>
      <w:r w:rsidRPr="00EA06D1">
        <w:rPr>
          <w:rFonts w:ascii="Arial" w:eastAsia="Arial" w:hAnsi="Arial" w:cs="Arial"/>
          <w:spacing w:val="-2"/>
        </w:rPr>
        <w:t>s</w:t>
      </w:r>
      <w:r w:rsidRPr="00EA06D1">
        <w:rPr>
          <w:rFonts w:ascii="Arial" w:eastAsia="Arial" w:hAnsi="Arial" w:cs="Arial"/>
          <w:spacing w:val="1"/>
        </w:rPr>
        <w:t>t</w:t>
      </w:r>
      <w:r w:rsidRPr="00EA06D1">
        <w:rPr>
          <w:rFonts w:ascii="Arial" w:eastAsia="Arial" w:hAnsi="Arial" w:cs="Arial"/>
          <w:spacing w:val="-3"/>
        </w:rPr>
        <w:t>a</w:t>
      </w:r>
      <w:r w:rsidRPr="00EA06D1">
        <w:rPr>
          <w:rFonts w:ascii="Arial" w:eastAsia="Arial" w:hAnsi="Arial" w:cs="Arial"/>
          <w:spacing w:val="1"/>
        </w:rPr>
        <w:t>t</w:t>
      </w:r>
      <w:r w:rsidRPr="00EA06D1">
        <w:rPr>
          <w:rFonts w:ascii="Arial" w:eastAsia="Arial" w:hAnsi="Arial" w:cs="Arial"/>
        </w:rPr>
        <w:t>es</w:t>
      </w:r>
      <w:r w:rsidRPr="00EA06D1">
        <w:rPr>
          <w:rFonts w:ascii="Arial" w:eastAsia="Arial" w:hAnsi="Arial" w:cs="Arial"/>
          <w:spacing w:val="2"/>
        </w:rPr>
        <w:t xml:space="preserve"> </w:t>
      </w:r>
      <w:r w:rsidRPr="00EA06D1">
        <w:rPr>
          <w:rFonts w:ascii="Arial" w:eastAsia="Arial" w:hAnsi="Arial" w:cs="Arial"/>
        </w:rPr>
        <w:t>c</w:t>
      </w:r>
      <w:r w:rsidRPr="00EA06D1">
        <w:rPr>
          <w:rFonts w:ascii="Arial" w:eastAsia="Arial" w:hAnsi="Arial" w:cs="Arial"/>
          <w:spacing w:val="-3"/>
        </w:rPr>
        <w:t>o</w:t>
      </w:r>
      <w:r w:rsidRPr="00EA06D1">
        <w:rPr>
          <w:rFonts w:ascii="Arial" w:eastAsia="Arial" w:hAnsi="Arial" w:cs="Arial"/>
        </w:rPr>
        <w:t>s</w:t>
      </w:r>
      <w:r w:rsidRPr="00EA06D1">
        <w:rPr>
          <w:rFonts w:ascii="Arial" w:eastAsia="Arial" w:hAnsi="Arial" w:cs="Arial"/>
          <w:spacing w:val="1"/>
        </w:rPr>
        <w:t>t</w:t>
      </w:r>
      <w:r w:rsidRPr="00EA06D1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</w:t>
      </w:r>
      <w:r w:rsidRPr="00EA06D1">
        <w:rPr>
          <w:rFonts w:ascii="Arial" w:eastAsia="Arial" w:hAnsi="Arial" w:cs="Arial"/>
          <w:b/>
          <w:bCs/>
        </w:rPr>
        <w:t xml:space="preserve">(FAS will </w:t>
      </w:r>
      <w:r w:rsidR="005708B4" w:rsidRPr="00054D85">
        <w:rPr>
          <w:rFonts w:ascii="Arial" w:eastAsia="Arial" w:hAnsi="Arial" w:cs="Arial"/>
          <w:b/>
          <w:bCs/>
        </w:rPr>
        <w:t>finalise</w:t>
      </w:r>
      <w:r w:rsidR="006B70CB" w:rsidRPr="00054D85">
        <w:rPr>
          <w:rFonts w:ascii="Arial" w:eastAsia="Arial" w:hAnsi="Arial" w:cs="Arial"/>
          <w:b/>
          <w:bCs/>
        </w:rPr>
        <w:t xml:space="preserve"> and confirm</w:t>
      </w:r>
      <w:r w:rsidRPr="00054D85">
        <w:rPr>
          <w:rFonts w:ascii="Arial" w:eastAsia="Arial" w:hAnsi="Arial" w:cs="Arial"/>
          <w:b/>
          <w:bCs/>
        </w:rPr>
        <w:t xml:space="preserve"> </w:t>
      </w:r>
      <w:r w:rsidRPr="00054D85">
        <w:rPr>
          <w:rFonts w:ascii="Arial" w:eastAsia="Arial" w:hAnsi="Arial" w:cs="Arial"/>
          <w:b/>
          <w:bCs/>
          <w:u w:val="single"/>
        </w:rPr>
        <w:t>if funded</w:t>
      </w:r>
      <w:r w:rsidRPr="00054D85">
        <w:rPr>
          <w:rFonts w:ascii="Arial" w:eastAsia="Arial" w:hAnsi="Arial" w:cs="Arial"/>
          <w:b/>
          <w:bCs/>
        </w:rPr>
        <w:t>)</w:t>
      </w:r>
    </w:p>
    <w:p w14:paraId="16E5F66D" w14:textId="3646A547" w:rsidR="002263FE" w:rsidRDefault="002263FE" w:rsidP="002263FE">
      <w:pPr>
        <w:spacing w:line="260" w:lineRule="exact"/>
        <w:ind w:left="359"/>
        <w:rPr>
          <w:rFonts w:ascii="Arial" w:eastAsia="Arial" w:hAnsi="Arial" w:cs="Arial"/>
        </w:rPr>
      </w:pPr>
      <w:r w:rsidRPr="00054D85">
        <w:rPr>
          <w:rFonts w:ascii="Verdana" w:eastAsia="Verdana" w:hAnsi="Verdana" w:cs="Verdana"/>
          <w:position w:val="-1"/>
        </w:rPr>
        <w:t xml:space="preserve">•  </w:t>
      </w:r>
      <w:r w:rsidRPr="00054D85">
        <w:rPr>
          <w:rFonts w:ascii="Verdana" w:eastAsia="Verdana" w:hAnsi="Verdana" w:cs="Verdana"/>
          <w:spacing w:val="3"/>
          <w:position w:val="-1"/>
        </w:rPr>
        <w:t xml:space="preserve"> </w:t>
      </w:r>
      <w:r w:rsidRPr="00054D85">
        <w:rPr>
          <w:rFonts w:ascii="Arial" w:eastAsia="Arial" w:hAnsi="Arial" w:cs="Arial"/>
          <w:spacing w:val="1"/>
          <w:position w:val="-1"/>
        </w:rPr>
        <w:t>Ot</w:t>
      </w:r>
      <w:r w:rsidRPr="00054D85">
        <w:rPr>
          <w:rFonts w:ascii="Arial" w:eastAsia="Arial" w:hAnsi="Arial" w:cs="Arial"/>
          <w:position w:val="-1"/>
        </w:rPr>
        <w:t>h</w:t>
      </w:r>
      <w:r w:rsidRPr="00054D85">
        <w:rPr>
          <w:rFonts w:ascii="Arial" w:eastAsia="Arial" w:hAnsi="Arial" w:cs="Arial"/>
          <w:spacing w:val="-3"/>
          <w:position w:val="-1"/>
        </w:rPr>
        <w:t>e</w:t>
      </w:r>
      <w:r w:rsidRPr="00054D85">
        <w:rPr>
          <w:rFonts w:ascii="Arial" w:eastAsia="Arial" w:hAnsi="Arial" w:cs="Arial"/>
          <w:position w:val="-1"/>
        </w:rPr>
        <w:t>r</w:t>
      </w:r>
      <w:r w:rsidRPr="00054D85">
        <w:rPr>
          <w:rFonts w:ascii="Arial" w:eastAsia="Arial" w:hAnsi="Arial" w:cs="Arial"/>
          <w:spacing w:val="2"/>
          <w:position w:val="-1"/>
        </w:rPr>
        <w:t xml:space="preserve"> </w:t>
      </w:r>
      <w:r w:rsidRPr="00054D85">
        <w:rPr>
          <w:rFonts w:ascii="Arial" w:eastAsia="Arial" w:hAnsi="Arial" w:cs="Arial"/>
          <w:spacing w:val="-1"/>
          <w:position w:val="-1"/>
        </w:rPr>
        <w:t>Di</w:t>
      </w:r>
      <w:r w:rsidRPr="00054D85">
        <w:rPr>
          <w:rFonts w:ascii="Arial" w:eastAsia="Arial" w:hAnsi="Arial" w:cs="Arial"/>
          <w:spacing w:val="1"/>
          <w:position w:val="-1"/>
        </w:rPr>
        <w:t>r</w:t>
      </w:r>
      <w:r w:rsidRPr="00054D85">
        <w:rPr>
          <w:rFonts w:ascii="Arial" w:eastAsia="Arial" w:hAnsi="Arial" w:cs="Arial"/>
          <w:position w:val="-1"/>
        </w:rPr>
        <w:t>e</w:t>
      </w:r>
      <w:r w:rsidRPr="00054D85">
        <w:rPr>
          <w:rFonts w:ascii="Arial" w:eastAsia="Arial" w:hAnsi="Arial" w:cs="Arial"/>
          <w:spacing w:val="-2"/>
          <w:position w:val="-1"/>
        </w:rPr>
        <w:t>c</w:t>
      </w:r>
      <w:r w:rsidRPr="00054D85">
        <w:rPr>
          <w:rFonts w:ascii="Arial" w:eastAsia="Arial" w:hAnsi="Arial" w:cs="Arial"/>
          <w:spacing w:val="1"/>
          <w:position w:val="-1"/>
        </w:rPr>
        <w:t>t</w:t>
      </w:r>
      <w:r w:rsidRPr="00054D85">
        <w:rPr>
          <w:rFonts w:ascii="Arial" w:eastAsia="Arial" w:hAnsi="Arial" w:cs="Arial"/>
          <w:spacing w:val="-1"/>
          <w:position w:val="-1"/>
        </w:rPr>
        <w:t>l</w:t>
      </w:r>
      <w:r w:rsidRPr="00054D85">
        <w:rPr>
          <w:rFonts w:ascii="Arial" w:eastAsia="Arial" w:hAnsi="Arial" w:cs="Arial"/>
          <w:position w:val="-1"/>
        </w:rPr>
        <w:t>y</w:t>
      </w:r>
      <w:r w:rsidRPr="00054D85">
        <w:rPr>
          <w:rFonts w:ascii="Arial" w:eastAsia="Arial" w:hAnsi="Arial" w:cs="Arial"/>
          <w:spacing w:val="2"/>
          <w:position w:val="-1"/>
        </w:rPr>
        <w:t xml:space="preserve"> </w:t>
      </w:r>
      <w:r w:rsidRPr="00054D85">
        <w:rPr>
          <w:rFonts w:ascii="Arial" w:eastAsia="Arial" w:hAnsi="Arial" w:cs="Arial"/>
          <w:spacing w:val="-1"/>
          <w:position w:val="-1"/>
        </w:rPr>
        <w:t>All</w:t>
      </w:r>
      <w:r w:rsidRPr="00054D85">
        <w:rPr>
          <w:rFonts w:ascii="Arial" w:eastAsia="Arial" w:hAnsi="Arial" w:cs="Arial"/>
          <w:position w:val="-1"/>
        </w:rPr>
        <w:t>oca</w:t>
      </w:r>
      <w:r w:rsidRPr="00054D85">
        <w:rPr>
          <w:rFonts w:ascii="Arial" w:eastAsia="Arial" w:hAnsi="Arial" w:cs="Arial"/>
          <w:spacing w:val="1"/>
          <w:position w:val="-1"/>
        </w:rPr>
        <w:t>t</w:t>
      </w:r>
      <w:r w:rsidRPr="00054D85">
        <w:rPr>
          <w:rFonts w:ascii="Arial" w:eastAsia="Arial" w:hAnsi="Arial" w:cs="Arial"/>
          <w:position w:val="-1"/>
        </w:rPr>
        <w:t>ed</w:t>
      </w:r>
      <w:r w:rsidRPr="00054D85">
        <w:rPr>
          <w:rFonts w:ascii="Arial" w:eastAsia="Arial" w:hAnsi="Arial" w:cs="Arial"/>
          <w:spacing w:val="-4"/>
          <w:position w:val="-1"/>
        </w:rPr>
        <w:t xml:space="preserve"> </w:t>
      </w:r>
      <w:r w:rsidRPr="00054D85">
        <w:rPr>
          <w:rFonts w:ascii="Arial" w:eastAsia="Arial" w:hAnsi="Arial" w:cs="Arial"/>
          <w:position w:val="-1"/>
        </w:rPr>
        <w:t>cos</w:t>
      </w:r>
      <w:r w:rsidRPr="00054D85">
        <w:rPr>
          <w:rFonts w:ascii="Arial" w:eastAsia="Arial" w:hAnsi="Arial" w:cs="Arial"/>
          <w:spacing w:val="1"/>
          <w:position w:val="-1"/>
        </w:rPr>
        <w:t>t</w:t>
      </w:r>
      <w:r w:rsidRPr="00054D85">
        <w:rPr>
          <w:rFonts w:ascii="Arial" w:eastAsia="Arial" w:hAnsi="Arial" w:cs="Arial"/>
          <w:position w:val="-1"/>
        </w:rPr>
        <w:t>s</w:t>
      </w:r>
      <w:r w:rsidR="00EA06D1" w:rsidRPr="00054D85">
        <w:rPr>
          <w:rFonts w:ascii="Arial" w:eastAsia="Arial" w:hAnsi="Arial" w:cs="Arial"/>
          <w:position w:val="-1"/>
        </w:rPr>
        <w:t xml:space="preserve"> </w:t>
      </w:r>
      <w:r w:rsidR="00EA06D1" w:rsidRPr="00054D85">
        <w:rPr>
          <w:rFonts w:ascii="Arial" w:eastAsia="Arial" w:hAnsi="Arial" w:cs="Arial"/>
          <w:b/>
          <w:bCs/>
          <w:position w:val="-1"/>
        </w:rPr>
        <w:t xml:space="preserve">(FAS will </w:t>
      </w:r>
      <w:r w:rsidR="005708B4" w:rsidRPr="00054D85">
        <w:rPr>
          <w:rFonts w:ascii="Arial" w:eastAsia="Arial" w:hAnsi="Arial" w:cs="Arial"/>
          <w:b/>
          <w:bCs/>
          <w:position w:val="-1"/>
        </w:rPr>
        <w:t>finalise</w:t>
      </w:r>
      <w:r w:rsidR="006B70CB" w:rsidRPr="00054D85">
        <w:rPr>
          <w:rFonts w:ascii="Arial" w:eastAsia="Arial" w:hAnsi="Arial" w:cs="Arial"/>
          <w:b/>
          <w:bCs/>
          <w:position w:val="-1"/>
        </w:rPr>
        <w:t xml:space="preserve"> and confirm</w:t>
      </w:r>
      <w:r w:rsidR="00EA06D1" w:rsidRPr="00054D85">
        <w:rPr>
          <w:rFonts w:ascii="Arial" w:eastAsia="Arial" w:hAnsi="Arial" w:cs="Arial"/>
          <w:b/>
          <w:bCs/>
          <w:position w:val="-1"/>
        </w:rPr>
        <w:t xml:space="preserve"> </w:t>
      </w:r>
      <w:r w:rsidR="00EA06D1" w:rsidRPr="00054D85">
        <w:rPr>
          <w:rFonts w:ascii="Arial" w:eastAsia="Arial" w:hAnsi="Arial" w:cs="Arial"/>
          <w:b/>
          <w:bCs/>
          <w:position w:val="-1"/>
          <w:u w:val="single"/>
        </w:rPr>
        <w:t>if funded</w:t>
      </w:r>
      <w:r w:rsidR="00EA06D1" w:rsidRPr="00054D85">
        <w:rPr>
          <w:rFonts w:ascii="Arial" w:eastAsia="Arial" w:hAnsi="Arial" w:cs="Arial"/>
          <w:b/>
          <w:bCs/>
          <w:position w:val="-1"/>
        </w:rPr>
        <w:t>)</w:t>
      </w:r>
    </w:p>
    <w:p w14:paraId="0F2B6833" w14:textId="77777777" w:rsidR="002263FE" w:rsidRDefault="002263FE" w:rsidP="002263FE">
      <w:pPr>
        <w:spacing w:before="16" w:line="240" w:lineRule="exact"/>
        <w:rPr>
          <w:sz w:val="24"/>
          <w:szCs w:val="24"/>
        </w:rPr>
      </w:pPr>
    </w:p>
    <w:p w14:paraId="0F4933A3" w14:textId="1B23779A" w:rsidR="002263FE" w:rsidRDefault="6002852A" w:rsidP="158D76A0">
      <w:pPr>
        <w:ind w:left="1"/>
        <w:rPr>
          <w:rFonts w:asciiTheme="majorHAnsi" w:eastAsiaTheme="majorEastAsia" w:hAnsiTheme="majorHAnsi" w:cstheme="majorBidi"/>
        </w:rPr>
      </w:pPr>
      <w:r w:rsidRPr="158D76A0">
        <w:rPr>
          <w:rFonts w:asciiTheme="majorHAnsi" w:eastAsiaTheme="majorEastAsia" w:hAnsiTheme="majorHAnsi" w:cstheme="majorBidi"/>
          <w:color w:val="000000" w:themeColor="text1"/>
        </w:rPr>
        <w:t xml:space="preserve">The grant funds may not be used for capital expenditure, </w:t>
      </w:r>
      <w:proofErr w:type="gramStart"/>
      <w:r w:rsidRPr="158D76A0">
        <w:rPr>
          <w:rFonts w:asciiTheme="majorHAnsi" w:eastAsiaTheme="majorEastAsia" w:hAnsiTheme="majorHAnsi" w:cstheme="majorBidi"/>
          <w:color w:val="000000" w:themeColor="text1"/>
        </w:rPr>
        <w:t>i.e.</w:t>
      </w:r>
      <w:proofErr w:type="gramEnd"/>
      <w:r w:rsidRPr="158D76A0">
        <w:rPr>
          <w:rFonts w:asciiTheme="majorHAnsi" w:eastAsiaTheme="majorEastAsia" w:hAnsiTheme="majorHAnsi" w:cstheme="majorBidi"/>
          <w:color w:val="000000" w:themeColor="text1"/>
        </w:rPr>
        <w:t xml:space="preserve"> n</w:t>
      </w:r>
      <w:r w:rsidRPr="158D76A0">
        <w:rPr>
          <w:rFonts w:asciiTheme="majorHAnsi" w:eastAsiaTheme="majorEastAsia" w:hAnsiTheme="majorHAnsi" w:cstheme="majorBidi"/>
          <w:color w:val="000000" w:themeColor="text1"/>
          <w:u w:val="single"/>
        </w:rPr>
        <w:t>o single items of equipment above the £10k threshold are permitted</w:t>
      </w:r>
      <w:r w:rsidR="00171999" w:rsidRPr="158D76A0">
        <w:rPr>
          <w:rFonts w:asciiTheme="majorHAnsi" w:eastAsiaTheme="majorEastAsia" w:hAnsiTheme="majorHAnsi" w:cstheme="majorBidi"/>
        </w:rPr>
        <w:t>.</w:t>
      </w:r>
    </w:p>
    <w:p w14:paraId="3AB0075E" w14:textId="7D8BF0C2" w:rsidR="00762C04" w:rsidRDefault="00762C04" w:rsidP="158D76A0">
      <w:pPr>
        <w:ind w:left="1"/>
        <w:rPr>
          <w:rFonts w:asciiTheme="majorHAnsi" w:eastAsiaTheme="majorEastAsia" w:hAnsiTheme="majorHAnsi" w:cstheme="majorBidi"/>
          <w:color w:val="000000" w:themeColor="text1"/>
        </w:rPr>
      </w:pPr>
    </w:p>
    <w:p w14:paraId="2D2D67E3" w14:textId="19509780" w:rsidR="00A95D0A" w:rsidRDefault="00A95D0A" w:rsidP="00A95D0A">
      <w:pPr>
        <w:keepNext/>
        <w:spacing w:after="120"/>
        <w:contextualSpacing/>
        <w:rPr>
          <w:rFonts w:cstheme="minorHAnsi"/>
        </w:rPr>
      </w:pPr>
      <w:r w:rsidRPr="004054FB">
        <w:rPr>
          <w:rFonts w:cstheme="minorHAnsi"/>
        </w:rPr>
        <w:t xml:space="preserve">For staff costs: please use the values below, which are based on a 1.0 FTE member of staff per month; </w:t>
      </w:r>
      <w:r w:rsidRPr="00F717C6">
        <w:rPr>
          <w:rFonts w:cstheme="minorHAnsi"/>
        </w:rPr>
        <w:t>please</w:t>
      </w:r>
      <w:r w:rsidRPr="004054FB">
        <w:rPr>
          <w:rFonts w:cstheme="minorHAnsi"/>
        </w:rPr>
        <w:t xml:space="preserve"> state </w:t>
      </w:r>
      <w:r>
        <w:rPr>
          <w:rFonts w:cstheme="minorHAnsi"/>
        </w:rPr>
        <w:t xml:space="preserve">the </w:t>
      </w:r>
      <w:r w:rsidRPr="004054FB">
        <w:rPr>
          <w:rFonts w:cstheme="minorHAnsi"/>
        </w:rPr>
        <w:t>grade and number of months when including staff costs on your application.</w:t>
      </w:r>
      <w:r>
        <w:rPr>
          <w:rFonts w:cstheme="minorHAnsi"/>
        </w:rPr>
        <w:t xml:space="preserve"> </w:t>
      </w:r>
      <w:r w:rsidRPr="004054FB">
        <w:rPr>
          <w:rFonts w:cstheme="minorHAnsi"/>
        </w:rPr>
        <w:t xml:space="preserve"> </w:t>
      </w:r>
      <w:r w:rsidRPr="00AD3133">
        <w:rPr>
          <w:rFonts w:cstheme="minorHAnsi"/>
        </w:rPr>
        <w:t xml:space="preserve">Successful applications will have costs finalised by Finance Advice and Support (FAS) on the advice of the review panel committee. </w:t>
      </w:r>
      <w:r w:rsidRPr="004054FB">
        <w:rPr>
          <w:rFonts w:cstheme="minorHAnsi"/>
        </w:rPr>
        <w:t xml:space="preserve"> </w:t>
      </w:r>
    </w:p>
    <w:p w14:paraId="41F727BC" w14:textId="77777777" w:rsidR="00A95D0A" w:rsidRDefault="00A95D0A" w:rsidP="00A95D0A">
      <w:pPr>
        <w:rPr>
          <w:rStyle w:val="IntenseEmphasi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984"/>
        <w:gridCol w:w="2126"/>
      </w:tblGrid>
      <w:tr w:rsidR="00A95D0A" w:rsidRPr="004054FB" w14:paraId="00FCA412" w14:textId="77777777" w:rsidTr="00A31438">
        <w:trPr>
          <w:trHeight w:val="501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41BC40F2" w14:textId="77777777" w:rsidR="00A95D0A" w:rsidRPr="00AD3133" w:rsidRDefault="00A95D0A" w:rsidP="00A3143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AD3133">
              <w:rPr>
                <w:rFonts w:cstheme="minorHAnsi"/>
                <w:b/>
                <w:bCs/>
                <w:color w:val="242424"/>
              </w:rPr>
              <w:t>Grade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E146219" w14:textId="77777777" w:rsidR="00A95D0A" w:rsidRPr="00AD3133" w:rsidRDefault="00A95D0A" w:rsidP="00A3143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AD3133">
              <w:rPr>
                <w:rFonts w:cstheme="minorHAnsi"/>
                <w:b/>
                <w:bCs/>
                <w:color w:val="242424"/>
              </w:rPr>
              <w:t>Est. Total Annual Salary 2022/23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F043F49" w14:textId="77777777" w:rsidR="00A95D0A" w:rsidRPr="00AD3133" w:rsidRDefault="00A95D0A" w:rsidP="00A3143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AD3133">
              <w:rPr>
                <w:rFonts w:cstheme="minorHAnsi"/>
                <w:b/>
                <w:bCs/>
                <w:color w:val="242424"/>
              </w:rPr>
              <w:t>Est. Total Monthly Salary 2022/23</w:t>
            </w:r>
          </w:p>
        </w:tc>
      </w:tr>
      <w:tr w:rsidR="00A95D0A" w:rsidRPr="004054FB" w14:paraId="5DB31501" w14:textId="77777777" w:rsidTr="00A31438">
        <w:trPr>
          <w:trHeight w:val="300"/>
        </w:trPr>
        <w:tc>
          <w:tcPr>
            <w:tcW w:w="4957" w:type="dxa"/>
            <w:shd w:val="clear" w:color="auto" w:fill="auto"/>
            <w:vAlign w:val="center"/>
            <w:hideMark/>
          </w:tcPr>
          <w:p w14:paraId="772F0421" w14:textId="77777777" w:rsidR="00A95D0A" w:rsidRPr="00AD3133" w:rsidRDefault="00A95D0A" w:rsidP="00A31438">
            <w:pPr>
              <w:rPr>
                <w:rFonts w:cstheme="minorHAnsi"/>
                <w:b/>
                <w:bCs/>
                <w:color w:val="000000"/>
              </w:rPr>
            </w:pPr>
            <w:r w:rsidRPr="00AD3133">
              <w:rPr>
                <w:rFonts w:cstheme="minorHAnsi"/>
                <w:b/>
                <w:bCs/>
                <w:color w:val="242424"/>
              </w:rPr>
              <w:t>Grade 4 (</w:t>
            </w:r>
            <w:proofErr w:type="gramStart"/>
            <w:r w:rsidRPr="00AD3133">
              <w:rPr>
                <w:rFonts w:cstheme="minorHAnsi"/>
                <w:b/>
                <w:bCs/>
                <w:color w:val="242424"/>
              </w:rPr>
              <w:t>e.g.</w:t>
            </w:r>
            <w:proofErr w:type="gramEnd"/>
            <w:r w:rsidRPr="00AD3133">
              <w:rPr>
                <w:rFonts w:cstheme="minorHAnsi"/>
                <w:b/>
                <w:bCs/>
                <w:color w:val="242424"/>
              </w:rPr>
              <w:t xml:space="preserve"> Administrative Staff)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1BE4BAA" w14:textId="77777777" w:rsidR="00A95D0A" w:rsidRPr="00AD3133" w:rsidRDefault="00A95D0A" w:rsidP="00A31438">
            <w:pPr>
              <w:jc w:val="right"/>
              <w:rPr>
                <w:rFonts w:cstheme="minorHAnsi"/>
                <w:b/>
                <w:bCs/>
                <w:color w:val="000000"/>
              </w:rPr>
            </w:pPr>
            <w:r w:rsidRPr="00AD3133">
              <w:rPr>
                <w:rFonts w:cstheme="minorHAnsi"/>
                <w:b/>
                <w:bCs/>
                <w:color w:val="242424"/>
              </w:rPr>
              <w:t>£33,691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C69B0DE" w14:textId="77777777" w:rsidR="00A95D0A" w:rsidRPr="00AD3133" w:rsidRDefault="00A95D0A" w:rsidP="00A31438">
            <w:pPr>
              <w:jc w:val="right"/>
              <w:rPr>
                <w:rFonts w:cstheme="minorHAnsi"/>
                <w:b/>
                <w:bCs/>
                <w:color w:val="000000"/>
              </w:rPr>
            </w:pPr>
            <w:r w:rsidRPr="00AD3133">
              <w:rPr>
                <w:rFonts w:cstheme="minorHAnsi"/>
                <w:b/>
                <w:bCs/>
                <w:color w:val="242424"/>
              </w:rPr>
              <w:t>£2,808</w:t>
            </w:r>
          </w:p>
        </w:tc>
      </w:tr>
      <w:tr w:rsidR="00A95D0A" w:rsidRPr="004054FB" w14:paraId="31209EDA" w14:textId="77777777" w:rsidTr="00A31438">
        <w:trPr>
          <w:trHeight w:val="300"/>
        </w:trPr>
        <w:tc>
          <w:tcPr>
            <w:tcW w:w="4957" w:type="dxa"/>
            <w:shd w:val="clear" w:color="auto" w:fill="auto"/>
            <w:vAlign w:val="center"/>
            <w:hideMark/>
          </w:tcPr>
          <w:p w14:paraId="3A39B7D5" w14:textId="77777777" w:rsidR="00A95D0A" w:rsidRPr="00AD3133" w:rsidRDefault="00A95D0A" w:rsidP="00A31438">
            <w:pPr>
              <w:rPr>
                <w:rFonts w:cstheme="minorHAnsi"/>
                <w:b/>
                <w:bCs/>
                <w:color w:val="000000"/>
              </w:rPr>
            </w:pPr>
            <w:r w:rsidRPr="00AD3133">
              <w:rPr>
                <w:rFonts w:cstheme="minorHAnsi"/>
                <w:b/>
                <w:bCs/>
                <w:color w:val="242424"/>
              </w:rPr>
              <w:t>Grade 5 (</w:t>
            </w:r>
            <w:proofErr w:type="gramStart"/>
            <w:r w:rsidRPr="00AD3133">
              <w:rPr>
                <w:rFonts w:cstheme="minorHAnsi"/>
                <w:b/>
                <w:bCs/>
                <w:color w:val="242424"/>
              </w:rPr>
              <w:t>e.g.</w:t>
            </w:r>
            <w:proofErr w:type="gramEnd"/>
            <w:r w:rsidRPr="00AD3133">
              <w:rPr>
                <w:rFonts w:cstheme="minorHAnsi"/>
                <w:b/>
                <w:bCs/>
                <w:color w:val="242424"/>
              </w:rPr>
              <w:t xml:space="preserve"> Technicians)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34E3281" w14:textId="77777777" w:rsidR="00A95D0A" w:rsidRPr="00AD3133" w:rsidRDefault="00A95D0A" w:rsidP="00A31438">
            <w:pPr>
              <w:jc w:val="right"/>
              <w:rPr>
                <w:rFonts w:cstheme="minorHAnsi"/>
                <w:b/>
                <w:bCs/>
                <w:color w:val="000000"/>
              </w:rPr>
            </w:pPr>
            <w:r w:rsidRPr="00AD3133">
              <w:rPr>
                <w:rFonts w:cstheme="minorHAnsi"/>
                <w:b/>
                <w:bCs/>
                <w:color w:val="242424"/>
              </w:rPr>
              <w:t>£40,362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9F46DAE" w14:textId="77777777" w:rsidR="00A95D0A" w:rsidRPr="00AD3133" w:rsidRDefault="00A95D0A" w:rsidP="00A31438">
            <w:pPr>
              <w:jc w:val="right"/>
              <w:rPr>
                <w:rFonts w:cstheme="minorHAnsi"/>
                <w:b/>
                <w:bCs/>
                <w:color w:val="000000"/>
              </w:rPr>
            </w:pPr>
            <w:r w:rsidRPr="00AD3133">
              <w:rPr>
                <w:rFonts w:cstheme="minorHAnsi"/>
                <w:b/>
                <w:bCs/>
                <w:color w:val="242424"/>
              </w:rPr>
              <w:t>£3,363</w:t>
            </w:r>
          </w:p>
        </w:tc>
      </w:tr>
      <w:tr w:rsidR="00A95D0A" w:rsidRPr="004054FB" w14:paraId="6A8011DA" w14:textId="77777777" w:rsidTr="00A31438">
        <w:trPr>
          <w:trHeight w:val="300"/>
        </w:trPr>
        <w:tc>
          <w:tcPr>
            <w:tcW w:w="4957" w:type="dxa"/>
            <w:shd w:val="clear" w:color="auto" w:fill="auto"/>
            <w:vAlign w:val="center"/>
          </w:tcPr>
          <w:p w14:paraId="4B7AE7BD" w14:textId="77777777" w:rsidR="00A95D0A" w:rsidRPr="00AD3133" w:rsidRDefault="00A95D0A" w:rsidP="00A31438">
            <w:pPr>
              <w:rPr>
                <w:rFonts w:cstheme="minorHAnsi"/>
                <w:b/>
                <w:bCs/>
                <w:color w:val="242424"/>
              </w:rPr>
            </w:pPr>
            <w:r w:rsidRPr="00AD3133">
              <w:rPr>
                <w:rFonts w:cstheme="minorHAnsi"/>
                <w:b/>
                <w:bCs/>
                <w:color w:val="242424"/>
              </w:rPr>
              <w:t>Grade 6 (</w:t>
            </w:r>
            <w:proofErr w:type="gramStart"/>
            <w:r w:rsidRPr="00AD3133">
              <w:rPr>
                <w:rFonts w:cstheme="minorHAnsi"/>
                <w:b/>
                <w:bCs/>
                <w:color w:val="242424"/>
              </w:rPr>
              <w:t>e.g.</w:t>
            </w:r>
            <w:proofErr w:type="gramEnd"/>
            <w:r w:rsidRPr="00AD3133">
              <w:rPr>
                <w:rFonts w:cstheme="minorHAnsi"/>
                <w:b/>
                <w:bCs/>
                <w:color w:val="242424"/>
              </w:rPr>
              <w:t xml:space="preserve"> Research Assistant)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5190FA2" w14:textId="77777777" w:rsidR="00A95D0A" w:rsidRPr="00AD3133" w:rsidRDefault="00A95D0A" w:rsidP="00A31438">
            <w:pPr>
              <w:jc w:val="right"/>
              <w:rPr>
                <w:rFonts w:cstheme="minorHAnsi"/>
                <w:b/>
                <w:bCs/>
                <w:color w:val="242424"/>
              </w:rPr>
            </w:pPr>
            <w:r w:rsidRPr="00AD3133">
              <w:rPr>
                <w:rFonts w:cstheme="minorHAnsi"/>
                <w:b/>
                <w:bCs/>
                <w:color w:val="242424"/>
              </w:rPr>
              <w:t>£51,325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D7988C0" w14:textId="77777777" w:rsidR="00A95D0A" w:rsidRPr="00AD3133" w:rsidRDefault="00A95D0A" w:rsidP="00A31438">
            <w:pPr>
              <w:jc w:val="right"/>
              <w:rPr>
                <w:rFonts w:cstheme="minorHAnsi"/>
                <w:b/>
                <w:bCs/>
                <w:color w:val="242424"/>
              </w:rPr>
            </w:pPr>
            <w:r w:rsidRPr="00AD3133">
              <w:rPr>
                <w:rFonts w:cstheme="minorHAnsi"/>
                <w:b/>
                <w:bCs/>
                <w:color w:val="242424"/>
              </w:rPr>
              <w:t>£4,277</w:t>
            </w:r>
          </w:p>
        </w:tc>
      </w:tr>
      <w:tr w:rsidR="00A95D0A" w:rsidRPr="004054FB" w14:paraId="085B8388" w14:textId="77777777" w:rsidTr="00A31438">
        <w:trPr>
          <w:trHeight w:val="300"/>
        </w:trPr>
        <w:tc>
          <w:tcPr>
            <w:tcW w:w="4957" w:type="dxa"/>
            <w:shd w:val="clear" w:color="auto" w:fill="auto"/>
            <w:vAlign w:val="center"/>
            <w:hideMark/>
          </w:tcPr>
          <w:p w14:paraId="4E39CBCF" w14:textId="77777777" w:rsidR="00A95D0A" w:rsidRPr="00AD3133" w:rsidRDefault="00A95D0A" w:rsidP="00A31438">
            <w:pPr>
              <w:rPr>
                <w:rFonts w:cstheme="minorHAnsi"/>
                <w:b/>
                <w:bCs/>
                <w:color w:val="000000"/>
              </w:rPr>
            </w:pPr>
            <w:r w:rsidRPr="00AD3133">
              <w:rPr>
                <w:rFonts w:cstheme="minorHAnsi"/>
                <w:b/>
                <w:bCs/>
                <w:color w:val="242424"/>
              </w:rPr>
              <w:t>Grade 7 (</w:t>
            </w:r>
            <w:proofErr w:type="gramStart"/>
            <w:r w:rsidRPr="00AD3133">
              <w:rPr>
                <w:rFonts w:cstheme="minorHAnsi"/>
                <w:b/>
                <w:bCs/>
                <w:color w:val="242424"/>
              </w:rPr>
              <w:t>e.g.</w:t>
            </w:r>
            <w:proofErr w:type="gramEnd"/>
            <w:r w:rsidRPr="00AD3133">
              <w:rPr>
                <w:rFonts w:cstheme="minorHAnsi"/>
                <w:b/>
                <w:bCs/>
                <w:color w:val="242424"/>
              </w:rPr>
              <w:t xml:space="preserve"> Academic)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A4CA875" w14:textId="77777777" w:rsidR="00A95D0A" w:rsidRPr="00AD3133" w:rsidRDefault="00A95D0A" w:rsidP="00A31438">
            <w:pPr>
              <w:jc w:val="right"/>
              <w:rPr>
                <w:rFonts w:cstheme="minorHAnsi"/>
                <w:b/>
                <w:bCs/>
                <w:color w:val="000000"/>
              </w:rPr>
            </w:pPr>
            <w:r w:rsidRPr="00AD3133">
              <w:rPr>
                <w:rFonts w:cstheme="minorHAnsi"/>
                <w:b/>
                <w:bCs/>
                <w:color w:val="242424"/>
              </w:rPr>
              <w:t>£63,393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9E74555" w14:textId="77777777" w:rsidR="00A95D0A" w:rsidRPr="00AD3133" w:rsidRDefault="00A95D0A" w:rsidP="00A31438">
            <w:pPr>
              <w:jc w:val="right"/>
              <w:rPr>
                <w:rFonts w:cstheme="minorHAnsi"/>
                <w:b/>
                <w:bCs/>
                <w:color w:val="000000"/>
              </w:rPr>
            </w:pPr>
            <w:r w:rsidRPr="00AD3133">
              <w:rPr>
                <w:rFonts w:cstheme="minorHAnsi"/>
                <w:b/>
                <w:bCs/>
                <w:color w:val="242424"/>
              </w:rPr>
              <w:t>£5,283</w:t>
            </w:r>
          </w:p>
        </w:tc>
      </w:tr>
    </w:tbl>
    <w:p w14:paraId="7CA05016" w14:textId="77777777" w:rsidR="00A95D0A" w:rsidRPr="00762C04" w:rsidRDefault="00A95D0A" w:rsidP="158D76A0">
      <w:pPr>
        <w:ind w:left="1"/>
        <w:rPr>
          <w:rFonts w:asciiTheme="majorHAnsi" w:eastAsiaTheme="majorEastAsia" w:hAnsiTheme="majorHAnsi" w:cstheme="majorBidi"/>
          <w:color w:val="000000" w:themeColor="text1"/>
        </w:rPr>
      </w:pPr>
    </w:p>
    <w:p w14:paraId="5DA06184" w14:textId="77777777" w:rsidR="00A95D0A" w:rsidRDefault="00762C04" w:rsidP="00A95D0A">
      <w:pPr>
        <w:pStyle w:val="paragraph"/>
        <w:spacing w:before="0" w:beforeAutospacing="0" w:after="0" w:afterAutospacing="0"/>
        <w:textAlignment w:val="baseline"/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</w:pPr>
      <w:r w:rsidRPr="00762C04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The </w:t>
      </w:r>
      <w:r w:rsidRPr="00762C04"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  <w:t>indicative maximum award will be £30,000 per project</w:t>
      </w:r>
      <w:r w:rsidRPr="00762C04">
        <w:rPr>
          <w:rFonts w:asciiTheme="majorHAnsi" w:eastAsiaTheme="majorEastAsia" w:hAnsiTheme="majorHAnsi" w:cstheme="majorBidi"/>
          <w:color w:val="000000" w:themeColor="text1"/>
          <w:lang w:eastAsia="en-US"/>
        </w:rPr>
        <w:t>. Funding can include PDRA/support staff salaries, consumables, and equipment (up to 10k for a single piece). The final award value may be adjusted by the funding panel. Projects are expected to start on, or after, 05/01/2023 and </w:t>
      </w:r>
      <w:r w:rsidRPr="00762C04"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  <w:t>spend must finish by 31/03/2023.</w:t>
      </w:r>
    </w:p>
    <w:p w14:paraId="19914B1B" w14:textId="77777777" w:rsidR="00A95D0A" w:rsidRDefault="00A95D0A" w:rsidP="00A95D0A">
      <w:pPr>
        <w:pStyle w:val="paragraph"/>
        <w:spacing w:before="0" w:beforeAutospacing="0" w:after="0" w:afterAutospacing="0"/>
        <w:textAlignment w:val="baseline"/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</w:pPr>
    </w:p>
    <w:p w14:paraId="5244C374" w14:textId="77777777" w:rsidR="00A95D0A" w:rsidRDefault="00974C3C" w:rsidP="00A95D0A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Bidi"/>
          <w:b/>
          <w:bCs/>
        </w:rPr>
      </w:pPr>
      <w:r w:rsidRPr="158D76A0">
        <w:rPr>
          <w:rFonts w:asciiTheme="majorHAnsi" w:hAnsiTheme="majorHAnsi" w:cstheme="majorBidi"/>
        </w:rPr>
        <w:t xml:space="preserve">The deadline for applications is </w:t>
      </w:r>
      <w:r w:rsidRPr="158D76A0">
        <w:rPr>
          <w:rFonts w:asciiTheme="majorHAnsi" w:hAnsiTheme="majorHAnsi" w:cstheme="majorBidi"/>
          <w:b/>
          <w:bCs/>
        </w:rPr>
        <w:t xml:space="preserve">12:00 noon </w:t>
      </w:r>
      <w:r w:rsidR="00722090">
        <w:rPr>
          <w:rFonts w:asciiTheme="majorHAnsi" w:hAnsiTheme="majorHAnsi" w:cstheme="majorBidi"/>
          <w:b/>
          <w:bCs/>
        </w:rPr>
        <w:t>1st</w:t>
      </w:r>
      <w:r w:rsidRPr="158D76A0">
        <w:rPr>
          <w:rFonts w:asciiTheme="majorHAnsi" w:hAnsiTheme="majorHAnsi" w:cstheme="majorBidi"/>
          <w:b/>
          <w:bCs/>
        </w:rPr>
        <w:t xml:space="preserve"> </w:t>
      </w:r>
      <w:r w:rsidR="002263FE" w:rsidRPr="158D76A0">
        <w:rPr>
          <w:rFonts w:asciiTheme="majorHAnsi" w:hAnsiTheme="majorHAnsi" w:cstheme="majorBidi"/>
          <w:b/>
          <w:bCs/>
        </w:rPr>
        <w:t>December</w:t>
      </w:r>
      <w:r w:rsidRPr="158D76A0">
        <w:rPr>
          <w:rFonts w:asciiTheme="majorHAnsi" w:hAnsiTheme="majorHAnsi" w:cstheme="majorBidi"/>
          <w:b/>
          <w:bCs/>
        </w:rPr>
        <w:t xml:space="preserve"> 202</w:t>
      </w:r>
      <w:r w:rsidR="00762C04">
        <w:rPr>
          <w:rFonts w:asciiTheme="majorHAnsi" w:hAnsiTheme="majorHAnsi" w:cstheme="majorBidi"/>
          <w:b/>
          <w:bCs/>
        </w:rPr>
        <w:t>2</w:t>
      </w:r>
      <w:r w:rsidRPr="158D76A0">
        <w:rPr>
          <w:rFonts w:asciiTheme="majorHAnsi" w:hAnsiTheme="majorHAnsi" w:cstheme="majorBidi"/>
          <w:b/>
          <w:bCs/>
        </w:rPr>
        <w:t>.</w:t>
      </w:r>
    </w:p>
    <w:p w14:paraId="4B06774E" w14:textId="77777777" w:rsidR="00A95D0A" w:rsidRDefault="00A95D0A" w:rsidP="00A95D0A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Bidi"/>
          <w:b/>
          <w:bCs/>
        </w:rPr>
      </w:pPr>
    </w:p>
    <w:p w14:paraId="756BE30A" w14:textId="2686B05E" w:rsidR="00A95D0A" w:rsidRDefault="00A95D0A" w:rsidP="00A95D0A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</w:t>
      </w:r>
      <w:r w:rsidR="0025391C">
        <w:rPr>
          <w:rFonts w:asciiTheme="majorHAnsi" w:hAnsiTheme="majorHAnsi" w:cstheme="majorHAnsi"/>
        </w:rPr>
        <w:t xml:space="preserve">e review panel </w:t>
      </w:r>
      <w:r w:rsidR="0025391C" w:rsidRPr="00724582">
        <w:rPr>
          <w:rFonts w:asciiTheme="majorHAnsi" w:hAnsiTheme="majorHAnsi" w:cstheme="majorHAnsi"/>
        </w:rPr>
        <w:t xml:space="preserve">will meet to discuss and review submissions </w:t>
      </w:r>
      <w:r w:rsidR="0025391C">
        <w:rPr>
          <w:rFonts w:asciiTheme="majorHAnsi" w:hAnsiTheme="majorHAnsi" w:cstheme="majorHAnsi"/>
        </w:rPr>
        <w:t>in mid-December 202</w:t>
      </w:r>
      <w:r w:rsidR="00054D85">
        <w:rPr>
          <w:rFonts w:asciiTheme="majorHAnsi" w:hAnsiTheme="majorHAnsi" w:cstheme="majorHAnsi"/>
        </w:rPr>
        <w:t>2</w:t>
      </w:r>
      <w:r w:rsidR="0025391C" w:rsidRPr="00724582">
        <w:rPr>
          <w:rFonts w:asciiTheme="majorHAnsi" w:hAnsiTheme="majorHAnsi" w:cstheme="majorHAnsi"/>
        </w:rPr>
        <w:t>. </w:t>
      </w:r>
    </w:p>
    <w:p w14:paraId="4CB3D4C3" w14:textId="77777777" w:rsidR="00A95D0A" w:rsidRDefault="00A95D0A" w:rsidP="00A95D0A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</w:p>
    <w:p w14:paraId="4B238BDE" w14:textId="77777777" w:rsidR="00A95D0A" w:rsidRDefault="0025391C" w:rsidP="00A95D0A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724582">
        <w:rPr>
          <w:rFonts w:asciiTheme="majorHAnsi" w:hAnsiTheme="majorHAnsi" w:cstheme="majorHAnsi"/>
        </w:rPr>
        <w:t xml:space="preserve">Submissions will be assessed on </w:t>
      </w:r>
      <w:r w:rsidR="00762C04">
        <w:rPr>
          <w:rFonts w:asciiTheme="majorHAnsi" w:hAnsiTheme="majorHAnsi" w:cstheme="majorHAnsi"/>
          <w:b/>
          <w:bCs/>
        </w:rPr>
        <w:t>the following</w:t>
      </w:r>
      <w:r w:rsidRPr="0025391C">
        <w:rPr>
          <w:rFonts w:asciiTheme="majorHAnsi" w:hAnsiTheme="majorHAnsi" w:cstheme="majorHAnsi"/>
          <w:b/>
          <w:bCs/>
        </w:rPr>
        <w:t xml:space="preserve"> criteria</w:t>
      </w:r>
      <w:r w:rsidRPr="00724582">
        <w:rPr>
          <w:rFonts w:asciiTheme="majorHAnsi" w:hAnsiTheme="majorHAnsi" w:cstheme="majorHAnsi"/>
        </w:rPr>
        <w:t xml:space="preserve">:      </w:t>
      </w:r>
    </w:p>
    <w:p w14:paraId="4B3916BC" w14:textId="77777777" w:rsidR="00A95D0A" w:rsidRDefault="0023554D" w:rsidP="00A95D0A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pacing w:val="-1"/>
        </w:rPr>
      </w:pPr>
      <w:r w:rsidRPr="00A95D0A">
        <w:rPr>
          <w:rFonts w:ascii="Arial" w:hAnsi="Arial" w:cs="Arial"/>
          <w:spacing w:val="-1"/>
        </w:rPr>
        <w:t>Environmental science contribution: build momentum towards true discipline integration and enable adventurous and ambitious curiosity-driven projects that push the boundaries of Discovery Science</w:t>
      </w:r>
    </w:p>
    <w:p w14:paraId="218D9CE7" w14:textId="77777777" w:rsidR="00A95D0A" w:rsidRDefault="0025391C" w:rsidP="00A95D0A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A95D0A">
        <w:rPr>
          <w:rFonts w:asciiTheme="majorHAnsi" w:hAnsiTheme="majorHAnsi" w:cstheme="majorHAnsi"/>
        </w:rPr>
        <w:t>Interdisciplinary working: the degree to which the funding will be used to facilitate and enhance interdisciplinary working in areas of relevance to the environmental solutions agenda.</w:t>
      </w:r>
    </w:p>
    <w:p w14:paraId="73EECE6D" w14:textId="7351BB5C" w:rsidR="0025391C" w:rsidRPr="00A95D0A" w:rsidRDefault="0025391C" w:rsidP="00A95D0A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ajorHAnsi" w:hAnsiTheme="majorHAnsi" w:cstheme="majorBidi"/>
          <w:b/>
          <w:bCs/>
        </w:rPr>
      </w:pPr>
      <w:r w:rsidRPr="00A95D0A">
        <w:rPr>
          <w:rFonts w:asciiTheme="majorHAnsi" w:hAnsiTheme="majorHAnsi" w:cstheme="majorHAnsi"/>
        </w:rPr>
        <w:t xml:space="preserve">Potential for sustainability: do the funds requested have good prospects for sustainability, for example through external funding generation?  </w:t>
      </w:r>
    </w:p>
    <w:p w14:paraId="2BDFA4BB" w14:textId="3DBF6E14" w:rsidR="0025391C" w:rsidRPr="00724582" w:rsidRDefault="0025391C" w:rsidP="0025391C">
      <w:pPr>
        <w:pStyle w:val="ListParagraph"/>
        <w:keepNext/>
        <w:rPr>
          <w:rFonts w:asciiTheme="majorHAnsi" w:hAnsiTheme="majorHAnsi" w:cstheme="majorHAnsi"/>
        </w:rPr>
      </w:pPr>
      <w:r w:rsidRPr="00724582">
        <w:rPr>
          <w:rFonts w:asciiTheme="majorHAnsi" w:hAnsiTheme="majorHAnsi" w:cstheme="majorHAnsi"/>
        </w:rPr>
        <w:lastRenderedPageBreak/>
        <w:t xml:space="preserve">    </w:t>
      </w:r>
    </w:p>
    <w:p w14:paraId="46D42381" w14:textId="147A7769" w:rsidR="0025391C" w:rsidRPr="0025391C" w:rsidRDefault="0025391C" w:rsidP="0025391C">
      <w:pPr>
        <w:keepNext/>
        <w:rPr>
          <w:rFonts w:asciiTheme="majorHAnsi" w:hAnsiTheme="majorHAnsi" w:cstheme="majorHAnsi"/>
          <w:b/>
          <w:bCs/>
        </w:rPr>
      </w:pPr>
      <w:r w:rsidRPr="0025391C">
        <w:rPr>
          <w:rFonts w:asciiTheme="majorHAnsi" w:hAnsiTheme="majorHAnsi" w:cstheme="majorHAnsi"/>
          <w:b/>
          <w:bCs/>
        </w:rPr>
        <w:t xml:space="preserve">Applications must (1) have the support of the lead School/Department’s HOS, DOR or DOII and (2) must include confirmation of this in the form of a specific (rather than general) letter of support. The online form includes a question where letters of support can be uploaded.     </w:t>
      </w:r>
    </w:p>
    <w:p w14:paraId="5362E866" w14:textId="77777777" w:rsidR="0025391C" w:rsidRPr="00724582" w:rsidRDefault="0025391C" w:rsidP="0025391C">
      <w:pPr>
        <w:keepNext/>
        <w:rPr>
          <w:rFonts w:asciiTheme="majorHAnsi" w:hAnsiTheme="majorHAnsi" w:cstheme="majorHAnsi"/>
        </w:rPr>
      </w:pPr>
    </w:p>
    <w:p w14:paraId="6F5E7501" w14:textId="267DAAB9" w:rsidR="00054D85" w:rsidRDefault="2D0010F5" w:rsidP="00F111FD">
      <w:pPr>
        <w:keepNext/>
      </w:pPr>
      <w:r w:rsidRPr="00563B59">
        <w:rPr>
          <w:b/>
          <w:bCs/>
        </w:rPr>
        <w:t xml:space="preserve">Please complete the </w:t>
      </w:r>
      <w:r w:rsidR="009353BC" w:rsidRPr="00563B59">
        <w:rPr>
          <w:b/>
          <w:bCs/>
        </w:rPr>
        <w:t xml:space="preserve">online </w:t>
      </w:r>
      <w:r w:rsidR="7365B005" w:rsidRPr="00563B59">
        <w:rPr>
          <w:b/>
          <w:bCs/>
        </w:rPr>
        <w:t xml:space="preserve">Qualtrics </w:t>
      </w:r>
      <w:r w:rsidR="009353BC" w:rsidRPr="00563B59">
        <w:rPr>
          <w:b/>
          <w:bCs/>
        </w:rPr>
        <w:t>form</w:t>
      </w:r>
      <w:r w:rsidR="7DD0550E" w:rsidRPr="00563B59">
        <w:rPr>
          <w:b/>
          <w:bCs/>
        </w:rPr>
        <w:t xml:space="preserve"> </w:t>
      </w:r>
      <w:r w:rsidR="00F111FD">
        <w:rPr>
          <w:b/>
          <w:bCs/>
        </w:rPr>
        <w:t>if possible</w:t>
      </w:r>
      <w:r w:rsidR="009353BC" w:rsidRPr="00563B59">
        <w:rPr>
          <w:b/>
          <w:bCs/>
        </w:rPr>
        <w:t>:</w:t>
      </w:r>
      <w:r w:rsidR="789AC45F" w:rsidRPr="00563B59">
        <w:rPr>
          <w:b/>
          <w:bCs/>
        </w:rPr>
        <w:t xml:space="preserve"> </w:t>
      </w:r>
      <w:hyperlink r:id="rId9" w:history="1">
        <w:r w:rsidR="00054D85" w:rsidRPr="00DD54B2">
          <w:rPr>
            <w:rStyle w:val="Hyperlink"/>
          </w:rPr>
          <w:t>https://standrews.eu.qualtrics.com/jfe/form/SV_6ManVNMyYbpgvt4</w:t>
        </w:r>
      </w:hyperlink>
    </w:p>
    <w:p w14:paraId="17C23974" w14:textId="77777777" w:rsidR="00054D85" w:rsidRDefault="00054D85" w:rsidP="00F111FD">
      <w:pPr>
        <w:keepNext/>
      </w:pPr>
    </w:p>
    <w:p w14:paraId="66EEC2E9" w14:textId="377A716F" w:rsidR="00F111FD" w:rsidRPr="00762C04" w:rsidRDefault="00F111FD" w:rsidP="00F111FD">
      <w:pPr>
        <w:keepNext/>
        <w:rPr>
          <w:rFonts w:asciiTheme="majorHAnsi" w:hAnsiTheme="majorHAnsi" w:cstheme="majorHAnsi"/>
        </w:rPr>
      </w:pPr>
      <w:r>
        <w:rPr>
          <w:rFonts w:asciiTheme="majorHAnsi" w:eastAsiaTheme="majorEastAsia" w:hAnsiTheme="majorHAnsi" w:cstheme="majorBidi"/>
        </w:rPr>
        <w:t xml:space="preserve">If this causes you </w:t>
      </w:r>
      <w:r w:rsidRPr="00762C04">
        <w:rPr>
          <w:rFonts w:asciiTheme="majorHAnsi" w:hAnsiTheme="majorHAnsi" w:cstheme="majorHAnsi"/>
        </w:rPr>
        <w:t xml:space="preserve">difficulties, please email </w:t>
      </w:r>
      <w:hyperlink r:id="rId10" w:history="1">
        <w:r w:rsidR="00762C04" w:rsidRPr="00762C04">
          <w:rPr>
            <w:rFonts w:cstheme="majorHAnsi"/>
          </w:rPr>
          <w:t>impact@st-andrews.ac.uk.</w:t>
        </w:r>
      </w:hyperlink>
    </w:p>
    <w:p w14:paraId="659BCD58" w14:textId="77777777" w:rsidR="00762C04" w:rsidRDefault="00762C04">
      <w:pPr>
        <w:keepNext/>
        <w:rPr>
          <w:rFonts w:asciiTheme="majorHAnsi" w:hAnsiTheme="majorHAnsi" w:cstheme="majorHAnsi"/>
        </w:rPr>
      </w:pPr>
    </w:p>
    <w:p w14:paraId="45D41107" w14:textId="77777777" w:rsidR="00762C04" w:rsidRPr="00762C04" w:rsidRDefault="00762C04" w:rsidP="00762C04">
      <w:pPr>
        <w:pStyle w:val="paragraph"/>
        <w:spacing w:before="0" w:beforeAutospacing="0" w:after="0" w:afterAutospacing="0"/>
        <w:textAlignment w:val="baseline"/>
        <w:rPr>
          <w:rFonts w:asciiTheme="majorHAnsi" w:eastAsiaTheme="minorEastAsia" w:hAnsiTheme="majorHAnsi" w:cstheme="majorHAnsi"/>
          <w:lang w:val="en-US" w:eastAsia="en-US"/>
        </w:rPr>
      </w:pPr>
      <w:r w:rsidRPr="00762C04">
        <w:rPr>
          <w:rFonts w:asciiTheme="majorHAnsi" w:eastAsiaTheme="minorEastAsia" w:hAnsiTheme="majorHAnsi" w:cstheme="majorHAnsi"/>
          <w:lang w:val="en-US" w:eastAsia="en-US"/>
        </w:rPr>
        <w:t>The application form has been split into 2 sections:</w:t>
      </w:r>
      <w:r w:rsidRPr="00762C04">
        <w:rPr>
          <w:rFonts w:asciiTheme="majorHAnsi" w:eastAsiaTheme="minorEastAsia" w:hAnsiTheme="majorHAnsi" w:cstheme="majorHAnsi"/>
          <w:lang w:val="en-US" w:eastAsia="en-US"/>
        </w:rPr>
        <w:br/>
        <w:t xml:space="preserve">- </w:t>
      </w:r>
      <w:r w:rsidRPr="00762C04">
        <w:rPr>
          <w:rFonts w:asciiTheme="majorHAnsi" w:eastAsiaTheme="minorEastAsia" w:hAnsiTheme="majorHAnsi" w:cstheme="majorHAnsi"/>
          <w:lang w:val="en-US" w:eastAsia="en-US"/>
        </w:rPr>
        <w:tab/>
        <w:t>Section 1 is to be entered using the online application form.</w:t>
      </w:r>
    </w:p>
    <w:p w14:paraId="739E0418" w14:textId="77777777" w:rsidR="00762C04" w:rsidRPr="00762C04" w:rsidRDefault="00762C04" w:rsidP="00762C04">
      <w:pPr>
        <w:pStyle w:val="paragraph"/>
        <w:spacing w:before="0" w:beforeAutospacing="0" w:after="0" w:afterAutospacing="0"/>
        <w:textAlignment w:val="baseline"/>
        <w:rPr>
          <w:rFonts w:asciiTheme="majorHAnsi" w:eastAsiaTheme="minorEastAsia" w:hAnsiTheme="majorHAnsi" w:cstheme="majorHAnsi"/>
          <w:lang w:val="en-US" w:eastAsia="en-US"/>
        </w:rPr>
      </w:pPr>
      <w:r w:rsidRPr="00762C04">
        <w:rPr>
          <w:rFonts w:asciiTheme="majorHAnsi" w:eastAsiaTheme="minorEastAsia" w:hAnsiTheme="majorHAnsi" w:cstheme="majorHAnsi"/>
          <w:lang w:val="en-US" w:eastAsia="en-US"/>
        </w:rPr>
        <w:t xml:space="preserve">- </w:t>
      </w:r>
      <w:r w:rsidRPr="00762C04">
        <w:rPr>
          <w:rFonts w:asciiTheme="majorHAnsi" w:eastAsiaTheme="minorEastAsia" w:hAnsiTheme="majorHAnsi" w:cstheme="majorHAnsi"/>
          <w:lang w:val="en-US" w:eastAsia="en-US"/>
        </w:rPr>
        <w:tab/>
        <w:t>Section 2 is to be uploaded as a Word file via the online application form</w:t>
      </w:r>
    </w:p>
    <w:p w14:paraId="5C38F929" w14:textId="26ABD565" w:rsidR="00DC35B5" w:rsidRPr="00724582" w:rsidRDefault="00DC35B5">
      <w:pPr>
        <w:keepNext/>
        <w:rPr>
          <w:rFonts w:asciiTheme="majorHAnsi" w:hAnsiTheme="majorHAnsi" w:cstheme="majorHAnsi"/>
        </w:rPr>
      </w:pPr>
    </w:p>
    <w:p w14:paraId="04A05CDA" w14:textId="45EFFFF0" w:rsidR="00197833" w:rsidRPr="00724582" w:rsidRDefault="00DC35B5">
      <w:pPr>
        <w:keepNext/>
        <w:rPr>
          <w:rFonts w:asciiTheme="majorHAnsi" w:hAnsiTheme="majorHAnsi" w:cstheme="majorHAnsi"/>
        </w:rPr>
      </w:pPr>
      <w:r w:rsidRPr="008B6E42">
        <w:rPr>
          <w:rFonts w:asciiTheme="majorHAnsi" w:hAnsiTheme="majorHAnsi" w:cstheme="majorHAnsi"/>
          <w:b/>
          <w:bCs/>
        </w:rPr>
        <w:t xml:space="preserve">If you have any queries, please contact the </w:t>
      </w:r>
      <w:r w:rsidR="00A95D0A">
        <w:rPr>
          <w:rFonts w:asciiTheme="majorHAnsi" w:hAnsiTheme="majorHAnsi" w:cstheme="majorHAnsi"/>
          <w:b/>
          <w:bCs/>
        </w:rPr>
        <w:t xml:space="preserve">Research </w:t>
      </w:r>
      <w:r w:rsidR="00762C04">
        <w:rPr>
          <w:rFonts w:asciiTheme="majorHAnsi" w:hAnsiTheme="majorHAnsi" w:cstheme="majorHAnsi"/>
          <w:b/>
          <w:bCs/>
        </w:rPr>
        <w:t>Impact</w:t>
      </w:r>
      <w:r w:rsidRPr="008B6E42">
        <w:rPr>
          <w:rFonts w:asciiTheme="majorHAnsi" w:hAnsiTheme="majorHAnsi" w:cstheme="majorHAnsi"/>
          <w:b/>
          <w:bCs/>
        </w:rPr>
        <w:t xml:space="preserve"> team at </w:t>
      </w:r>
      <w:hyperlink r:id="rId11">
        <w:r w:rsidR="00762C04">
          <w:rPr>
            <w:rFonts w:asciiTheme="majorHAnsi" w:hAnsiTheme="majorHAnsi" w:cstheme="majorHAnsi"/>
            <w:b/>
            <w:bCs/>
            <w:color w:val="007AC0"/>
            <w:u w:val="single"/>
          </w:rPr>
          <w:t>impact@st-andrews.ac.uk</w:t>
        </w:r>
      </w:hyperlink>
      <w:r w:rsidRPr="00724582">
        <w:rPr>
          <w:rFonts w:asciiTheme="majorHAnsi" w:hAnsiTheme="majorHAnsi" w:cstheme="majorHAnsi"/>
        </w:rPr>
        <w:t xml:space="preserve">.     </w:t>
      </w:r>
      <w:r w:rsidRPr="00724582">
        <w:rPr>
          <w:rFonts w:asciiTheme="majorHAnsi" w:hAnsiTheme="majorHAnsi" w:cstheme="majorHAnsi"/>
        </w:rPr>
        <w:br/>
        <w:t xml:space="preserve"> </w:t>
      </w:r>
    </w:p>
    <w:sectPr w:rsidR="00197833" w:rsidRPr="00724582" w:rsidSect="00AA7DC6">
      <w:headerReference w:type="default" r:id="rId12"/>
      <w:footerReference w:type="even" r:id="rId13"/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FEE87" w14:textId="77777777" w:rsidR="00171763" w:rsidRDefault="00171763">
      <w:pPr>
        <w:spacing w:line="240" w:lineRule="auto"/>
      </w:pPr>
      <w:r>
        <w:separator/>
      </w:r>
    </w:p>
  </w:endnote>
  <w:endnote w:type="continuationSeparator" w:id="0">
    <w:p w14:paraId="4A865FAF" w14:textId="77777777" w:rsidR="00171763" w:rsidRDefault="00171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70EA" w14:textId="056F77EF" w:rsidR="00EB001B" w:rsidRDefault="00974C3C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D97507">
      <w:rPr>
        <w:rStyle w:val="PageNumber"/>
        <w:noProof/>
      </w:rPr>
      <w:t>8</w:t>
    </w:r>
    <w:r>
      <w:rPr>
        <w:rStyle w:val="PageNumber"/>
      </w:rPr>
      <w:fldChar w:fldCharType="end"/>
    </w:r>
  </w:p>
  <w:p w14:paraId="4B0C83C5" w14:textId="77777777" w:rsidR="00EB001B" w:rsidRDefault="00054D85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06EF" w14:textId="77777777" w:rsidR="00EB001B" w:rsidRDefault="00974C3C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7EE2C3AE" w14:textId="77777777" w:rsidR="00EB001B" w:rsidRDefault="00054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7A0AF" w14:textId="77777777" w:rsidR="00171763" w:rsidRDefault="00171763">
      <w:pPr>
        <w:spacing w:line="240" w:lineRule="auto"/>
      </w:pPr>
      <w:r>
        <w:separator/>
      </w:r>
    </w:p>
  </w:footnote>
  <w:footnote w:type="continuationSeparator" w:id="0">
    <w:p w14:paraId="36669790" w14:textId="77777777" w:rsidR="00171763" w:rsidRDefault="00171763">
      <w:pPr>
        <w:spacing w:line="240" w:lineRule="auto"/>
      </w:pPr>
      <w:r>
        <w:continuationSeparator/>
      </w:r>
    </w:p>
  </w:footnote>
  <w:footnote w:id="1">
    <w:p w14:paraId="76E9A660" w14:textId="5730FC50" w:rsidR="002263FE" w:rsidRPr="002263FE" w:rsidRDefault="002263F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E</w:t>
      </w:r>
      <w:r>
        <w:rPr>
          <w:rFonts w:ascii="Arial" w:eastAsia="Arial" w:hAnsi="Arial" w:cs="Arial"/>
          <w:spacing w:val="1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pend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bora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will be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ub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robu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ls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v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oney 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propr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DC17A" w14:textId="77777777" w:rsidR="003557B4" w:rsidRDefault="00974C3C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14A4160D"/>
    <w:multiLevelType w:val="hybridMultilevel"/>
    <w:tmpl w:val="A1909A0A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16DB7FEB"/>
    <w:multiLevelType w:val="hybridMultilevel"/>
    <w:tmpl w:val="4978D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E1CE2"/>
    <w:multiLevelType w:val="multilevel"/>
    <w:tmpl w:val="0409001D"/>
    <w:numStyleLink w:val="Multipunch"/>
  </w:abstractNum>
  <w:abstractNum w:abstractNumId="4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78A2ABF"/>
    <w:multiLevelType w:val="hybridMultilevel"/>
    <w:tmpl w:val="4AE22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B5646"/>
    <w:multiLevelType w:val="hybridMultilevel"/>
    <w:tmpl w:val="05C25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016027"/>
    <w:rsid w:val="00054D85"/>
    <w:rsid w:val="00086EC3"/>
    <w:rsid w:val="0009764F"/>
    <w:rsid w:val="001129BB"/>
    <w:rsid w:val="00171763"/>
    <w:rsid w:val="00171999"/>
    <w:rsid w:val="00197833"/>
    <w:rsid w:val="001B7C8C"/>
    <w:rsid w:val="001E2632"/>
    <w:rsid w:val="002263FE"/>
    <w:rsid w:val="0023554D"/>
    <w:rsid w:val="0025391C"/>
    <w:rsid w:val="002B2418"/>
    <w:rsid w:val="002C75C7"/>
    <w:rsid w:val="002D6D85"/>
    <w:rsid w:val="003557B4"/>
    <w:rsid w:val="00392104"/>
    <w:rsid w:val="003D04FF"/>
    <w:rsid w:val="004135DE"/>
    <w:rsid w:val="0044662B"/>
    <w:rsid w:val="00446DDA"/>
    <w:rsid w:val="004778BD"/>
    <w:rsid w:val="004D0A77"/>
    <w:rsid w:val="005267CE"/>
    <w:rsid w:val="00557966"/>
    <w:rsid w:val="00563B59"/>
    <w:rsid w:val="005708B4"/>
    <w:rsid w:val="006115F4"/>
    <w:rsid w:val="006310B0"/>
    <w:rsid w:val="00666C44"/>
    <w:rsid w:val="006B70CB"/>
    <w:rsid w:val="00722090"/>
    <w:rsid w:val="00724582"/>
    <w:rsid w:val="00724A22"/>
    <w:rsid w:val="00725962"/>
    <w:rsid w:val="00762C04"/>
    <w:rsid w:val="007A5FD8"/>
    <w:rsid w:val="007B13B5"/>
    <w:rsid w:val="007D532C"/>
    <w:rsid w:val="00850F0C"/>
    <w:rsid w:val="00856BFD"/>
    <w:rsid w:val="008621F3"/>
    <w:rsid w:val="008829F5"/>
    <w:rsid w:val="00891B68"/>
    <w:rsid w:val="008A50E3"/>
    <w:rsid w:val="008B6E42"/>
    <w:rsid w:val="008F4BDF"/>
    <w:rsid w:val="00916AA4"/>
    <w:rsid w:val="009353BC"/>
    <w:rsid w:val="0094624C"/>
    <w:rsid w:val="00964868"/>
    <w:rsid w:val="00971859"/>
    <w:rsid w:val="00974C3C"/>
    <w:rsid w:val="009C5CA6"/>
    <w:rsid w:val="00A95D0A"/>
    <w:rsid w:val="00AA7DC6"/>
    <w:rsid w:val="00AB1B02"/>
    <w:rsid w:val="00B20B85"/>
    <w:rsid w:val="00B70267"/>
    <w:rsid w:val="00B9671A"/>
    <w:rsid w:val="00BD0147"/>
    <w:rsid w:val="00C45E40"/>
    <w:rsid w:val="00CF00CF"/>
    <w:rsid w:val="00D97507"/>
    <w:rsid w:val="00DC35B5"/>
    <w:rsid w:val="00DD222E"/>
    <w:rsid w:val="00E257F9"/>
    <w:rsid w:val="00E64783"/>
    <w:rsid w:val="00EA0098"/>
    <w:rsid w:val="00EA06D1"/>
    <w:rsid w:val="00F111FD"/>
    <w:rsid w:val="00F15D2A"/>
    <w:rsid w:val="00F22B15"/>
    <w:rsid w:val="00F3190E"/>
    <w:rsid w:val="00F973DD"/>
    <w:rsid w:val="07A6BE4B"/>
    <w:rsid w:val="158D76A0"/>
    <w:rsid w:val="29C5A936"/>
    <w:rsid w:val="2B3CD4DF"/>
    <w:rsid w:val="2CDDFBB7"/>
    <w:rsid w:val="2D0010F5"/>
    <w:rsid w:val="302C3F9A"/>
    <w:rsid w:val="340CB2FC"/>
    <w:rsid w:val="34CA8EC8"/>
    <w:rsid w:val="4A8EBE4B"/>
    <w:rsid w:val="4D94E904"/>
    <w:rsid w:val="6002852A"/>
    <w:rsid w:val="611C111F"/>
    <w:rsid w:val="690DFAA7"/>
    <w:rsid w:val="7365B005"/>
    <w:rsid w:val="789AC45F"/>
    <w:rsid w:val="7DD0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4DBF2"/>
  <w15:docId w15:val="{CF919537-32D1-487D-AB4B-BA653CD0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0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0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0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0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0"/>
    <w:uiPriority w:val="99"/>
    <w:qFormat/>
    <w:rsid w:val="000E5A2D"/>
    <w:pPr>
      <w:spacing w:line="240" w:lineRule="auto"/>
    </w:pPr>
    <w:rPr>
      <w:sz w:val="18"/>
      <w:szCs w:val="20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val="en-GB" w:eastAsia="en-GB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458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45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458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D6D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D8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71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999"/>
    <w:rPr>
      <w:b/>
      <w:bCs/>
      <w:sz w:val="20"/>
      <w:szCs w:val="20"/>
    </w:rPr>
  </w:style>
  <w:style w:type="paragraph" w:customStyle="1" w:styleId="paragraph">
    <w:name w:val="paragraph"/>
    <w:basedOn w:val="Normal"/>
    <w:rsid w:val="009353B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GB" w:eastAsia="en-GB"/>
    </w:rPr>
  </w:style>
  <w:style w:type="character" w:customStyle="1" w:styleId="normaltextrun">
    <w:name w:val="normaltextrun"/>
    <w:basedOn w:val="DefaultParagraphFont"/>
    <w:rsid w:val="00762C04"/>
  </w:style>
  <w:style w:type="character" w:styleId="IntenseEmphasis">
    <w:name w:val="Intense Emphasis"/>
    <w:basedOn w:val="DefaultParagraphFont"/>
    <w:uiPriority w:val="21"/>
    <w:qFormat/>
    <w:rsid w:val="00A95D0A"/>
    <w:rPr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6B70CB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54D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ri.org/councils/nerc/guidance-for-applicants/types-of-funding-we-offer/discovery-scien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mpact@st-andrews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mpact@st-andrew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ndrews.eu.qualtrics.com/jfe/form/SV_6ManVNMyYbpgvt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26315-7719-4BCC-99E8-F06195E3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838</Words>
  <Characters>4777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(STAIRS - Table) St Andrews Interdisciplinary Research Support</vt:lpstr>
    </vt:vector>
  </TitlesOfParts>
  <Company>Qualtrics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(STAIRS - Table) St Andrews Interdisciplinary Research Support</dc:title>
  <dc:subject/>
  <dc:creator>Qualtrics</dc:creator>
  <cp:keywords/>
  <dc:description/>
  <cp:lastModifiedBy>Euan Donohue</cp:lastModifiedBy>
  <cp:revision>2</cp:revision>
  <dcterms:created xsi:type="dcterms:W3CDTF">2022-11-10T15:17:00Z</dcterms:created>
  <dcterms:modified xsi:type="dcterms:W3CDTF">2022-11-10T15:17:00Z</dcterms:modified>
</cp:coreProperties>
</file>